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29" w:rsidRPr="004D6DE3" w:rsidRDefault="00B102C0">
      <w:pPr>
        <w:shd w:val="clear" w:color="auto" w:fill="FFFFFF"/>
        <w:jc w:val="right"/>
        <w:rPr>
          <w:rFonts w:ascii="Calibri" w:hAnsi="Calibri"/>
          <w:sz w:val="22"/>
          <w:szCs w:val="22"/>
        </w:rPr>
      </w:pPr>
      <w:bookmarkStart w:id="0" w:name="_GoBack"/>
      <w:bookmarkEnd w:id="0"/>
      <w:r>
        <w:rPr>
          <w:rFonts w:ascii="Calibri" w:hAnsi="Calibri"/>
          <w:color w:val="000000"/>
          <w:spacing w:val="-9"/>
          <w:sz w:val="22"/>
          <w:szCs w:val="22"/>
        </w:rPr>
        <w:t>June 1</w:t>
      </w:r>
      <w:r w:rsidR="00AE1DF6" w:rsidRPr="004D6DE3">
        <w:rPr>
          <w:rFonts w:ascii="Calibri" w:hAnsi="Calibri"/>
          <w:color w:val="000000"/>
          <w:spacing w:val="-9"/>
          <w:sz w:val="22"/>
          <w:szCs w:val="22"/>
        </w:rPr>
        <w:t>, 2015</w:t>
      </w:r>
    </w:p>
    <w:p w:rsidR="00ED5E0D" w:rsidRPr="004D6DE3" w:rsidRDefault="00A26814" w:rsidP="00B27AF6">
      <w:pPr>
        <w:shd w:val="clear" w:color="auto" w:fill="FFFFFF"/>
        <w:spacing w:before="250" w:after="100" w:afterAutospacing="1" w:line="240" w:lineRule="exact"/>
        <w:rPr>
          <w:rFonts w:ascii="Calibri" w:hAnsi="Calibri"/>
          <w:sz w:val="22"/>
          <w:szCs w:val="22"/>
        </w:rPr>
      </w:pPr>
      <w:r w:rsidRPr="004D6DE3">
        <w:rPr>
          <w:rFonts w:ascii="Calibri" w:hAnsi="Calibri"/>
          <w:color w:val="000000"/>
          <w:spacing w:val="-8"/>
          <w:sz w:val="22"/>
          <w:szCs w:val="22"/>
        </w:rPr>
        <w:t>Rachel Golson</w:t>
      </w:r>
      <w:r w:rsidR="00B27AF6" w:rsidRPr="004D6DE3">
        <w:rPr>
          <w:rFonts w:ascii="Calibri" w:hAnsi="Calibri"/>
          <w:sz w:val="22"/>
          <w:szCs w:val="22"/>
        </w:rPr>
        <w:br/>
      </w:r>
      <w:r w:rsidRPr="004D6DE3">
        <w:rPr>
          <w:rFonts w:ascii="Calibri" w:hAnsi="Calibri"/>
          <w:sz w:val="22"/>
          <w:szCs w:val="22"/>
        </w:rPr>
        <w:t>Precis</w:t>
      </w:r>
      <w:r w:rsidR="00B27AF6" w:rsidRPr="004D6DE3">
        <w:rPr>
          <w:rFonts w:ascii="Calibri" w:hAnsi="Calibri"/>
          <w:sz w:val="22"/>
          <w:szCs w:val="22"/>
        </w:rPr>
        <w:t>i</w:t>
      </w:r>
      <w:r w:rsidRPr="004D6DE3">
        <w:rPr>
          <w:rFonts w:ascii="Calibri" w:hAnsi="Calibri"/>
          <w:sz w:val="22"/>
          <w:szCs w:val="22"/>
        </w:rPr>
        <w:t>on Drilling Corporation</w:t>
      </w:r>
      <w:r w:rsidR="00B27AF6" w:rsidRPr="004D6DE3">
        <w:rPr>
          <w:rFonts w:ascii="Calibri" w:hAnsi="Calibri"/>
          <w:sz w:val="22"/>
          <w:szCs w:val="22"/>
        </w:rPr>
        <w:br/>
      </w:r>
      <w:r w:rsidR="00B27AF6" w:rsidRPr="004D6DE3">
        <w:rPr>
          <w:rFonts w:ascii="Calibri" w:hAnsi="Calibri"/>
          <w:color w:val="000000"/>
          <w:spacing w:val="-10"/>
          <w:sz w:val="22"/>
          <w:szCs w:val="22"/>
        </w:rPr>
        <w:t>800, 525-8th Avenue S.W</w:t>
      </w:r>
      <w:proofErr w:type="gramStart"/>
      <w:r w:rsidR="00B27AF6" w:rsidRPr="004D6DE3">
        <w:rPr>
          <w:rFonts w:ascii="Calibri" w:hAnsi="Calibri"/>
          <w:color w:val="000000"/>
          <w:spacing w:val="-10"/>
          <w:sz w:val="22"/>
          <w:szCs w:val="22"/>
        </w:rPr>
        <w:t>.</w:t>
      </w:r>
      <w:proofErr w:type="gramEnd"/>
      <w:r w:rsidR="00B27AF6" w:rsidRPr="004D6DE3">
        <w:rPr>
          <w:rFonts w:ascii="Calibri" w:hAnsi="Calibri"/>
          <w:sz w:val="22"/>
          <w:szCs w:val="22"/>
        </w:rPr>
        <w:br/>
      </w:r>
      <w:r w:rsidR="00B27AF6" w:rsidRPr="004D6DE3">
        <w:rPr>
          <w:rFonts w:ascii="Calibri" w:hAnsi="Calibri"/>
          <w:color w:val="000000"/>
          <w:spacing w:val="-10"/>
          <w:sz w:val="22"/>
          <w:szCs w:val="22"/>
        </w:rPr>
        <w:t>Calgary, Alberta, Canada T2P 1G1</w:t>
      </w:r>
    </w:p>
    <w:p w:rsidR="00B92029" w:rsidRPr="004D6DE3" w:rsidRDefault="00A26814" w:rsidP="00B27AF6">
      <w:pPr>
        <w:shd w:val="clear" w:color="auto" w:fill="FFFFFF"/>
        <w:spacing w:before="48" w:after="100" w:afterAutospacing="1" w:line="494" w:lineRule="exact"/>
        <w:ind w:left="5" w:right="5280"/>
        <w:rPr>
          <w:rFonts w:ascii="Calibri" w:hAnsi="Calibri"/>
          <w:sz w:val="22"/>
          <w:szCs w:val="22"/>
        </w:rPr>
      </w:pPr>
      <w:r w:rsidRPr="004D6DE3">
        <w:rPr>
          <w:rFonts w:ascii="Calibri" w:hAnsi="Calibri"/>
          <w:color w:val="000000"/>
          <w:spacing w:val="-10"/>
          <w:sz w:val="22"/>
          <w:szCs w:val="22"/>
        </w:rPr>
        <w:t>Rachel</w:t>
      </w:r>
      <w:r w:rsidR="00AE1DF6" w:rsidRPr="004D6DE3">
        <w:rPr>
          <w:rFonts w:ascii="Calibri" w:hAnsi="Calibri"/>
          <w:color w:val="000000"/>
          <w:spacing w:val="-10"/>
          <w:sz w:val="22"/>
          <w:szCs w:val="22"/>
        </w:rPr>
        <w:t>,</w:t>
      </w:r>
    </w:p>
    <w:p w:rsidR="00B92029" w:rsidRDefault="00ED76A9" w:rsidP="00B27AF6">
      <w:pPr>
        <w:shd w:val="clear" w:color="auto" w:fill="FFFFFF"/>
        <w:spacing w:before="245" w:after="100" w:afterAutospacing="1" w:line="245" w:lineRule="exact"/>
        <w:ind w:left="14"/>
        <w:rPr>
          <w:rFonts w:ascii="Calibri" w:hAnsi="Calibri"/>
          <w:color w:val="000000"/>
          <w:spacing w:val="-8"/>
          <w:sz w:val="22"/>
          <w:szCs w:val="22"/>
        </w:rPr>
      </w:pPr>
      <w:r>
        <w:rPr>
          <w:rFonts w:ascii="Calibri" w:hAnsi="Calibri"/>
          <w:color w:val="000000"/>
          <w:spacing w:val="-8"/>
          <w:sz w:val="22"/>
          <w:szCs w:val="22"/>
        </w:rPr>
        <w:t xml:space="preserve">As a continuation of our support for the </w:t>
      </w:r>
      <w:r w:rsidR="00A26814" w:rsidRPr="004D6DE3">
        <w:rPr>
          <w:rFonts w:ascii="Calibri" w:hAnsi="Calibri"/>
          <w:color w:val="000000"/>
          <w:spacing w:val="-8"/>
          <w:sz w:val="22"/>
          <w:szCs w:val="22"/>
        </w:rPr>
        <w:t xml:space="preserve">Global HCM Master Data project, </w:t>
      </w:r>
      <w:r w:rsidR="00A26814" w:rsidRPr="004D6DE3">
        <w:rPr>
          <w:rFonts w:ascii="BankGothic Md BT" w:hAnsi="BankGothic Md BT"/>
          <w:color w:val="E7553D"/>
          <w:spacing w:val="-8"/>
          <w:sz w:val="22"/>
          <w:szCs w:val="22"/>
        </w:rPr>
        <w:t xml:space="preserve">C </w:t>
      </w:r>
      <w:r w:rsidR="00B27AF6" w:rsidRPr="004D6DE3">
        <w:rPr>
          <w:rFonts w:ascii="BankGothic Md BT" w:hAnsi="BankGothic Md BT"/>
          <w:color w:val="E7553D"/>
          <w:spacing w:val="-8"/>
          <w:sz w:val="22"/>
          <w:szCs w:val="22"/>
        </w:rPr>
        <w:t>CUBED</w:t>
      </w:r>
      <w:r w:rsidR="00A26814" w:rsidRPr="004D6DE3">
        <w:rPr>
          <w:rFonts w:ascii="BankGothic Md BT" w:hAnsi="BankGothic Md BT"/>
          <w:color w:val="E7553D"/>
          <w:spacing w:val="-8"/>
          <w:sz w:val="22"/>
          <w:szCs w:val="22"/>
        </w:rPr>
        <w:t xml:space="preserve"> Data Integrators</w:t>
      </w:r>
      <w:r w:rsidR="00A26814" w:rsidRPr="004D6DE3">
        <w:rPr>
          <w:rFonts w:ascii="Calibri" w:hAnsi="Calibri"/>
          <w:color w:val="000000"/>
          <w:spacing w:val="-8"/>
          <w:sz w:val="22"/>
          <w:szCs w:val="22"/>
        </w:rPr>
        <w:t xml:space="preserve"> </w:t>
      </w:r>
      <w:r w:rsidR="00B27AF6" w:rsidRPr="004D6DE3">
        <w:rPr>
          <w:rFonts w:ascii="Calibri" w:hAnsi="Calibri"/>
          <w:color w:val="000000"/>
          <w:spacing w:val="-8"/>
          <w:sz w:val="22"/>
          <w:szCs w:val="22"/>
        </w:rPr>
        <w:t>woul</w:t>
      </w:r>
      <w:r w:rsidR="00A26814" w:rsidRPr="004D6DE3">
        <w:rPr>
          <w:rFonts w:ascii="Calibri" w:hAnsi="Calibri"/>
          <w:color w:val="000000"/>
          <w:spacing w:val="-8"/>
          <w:sz w:val="22"/>
          <w:szCs w:val="22"/>
        </w:rPr>
        <w:t xml:space="preserve">d </w:t>
      </w:r>
      <w:r w:rsidR="00B27AF6" w:rsidRPr="004D6DE3">
        <w:rPr>
          <w:rFonts w:ascii="Calibri" w:hAnsi="Calibri"/>
          <w:color w:val="000000"/>
          <w:spacing w:val="-8"/>
          <w:sz w:val="22"/>
          <w:szCs w:val="22"/>
        </w:rPr>
        <w:t>like to offer</w:t>
      </w:r>
      <w:r>
        <w:rPr>
          <w:rFonts w:ascii="Calibri" w:hAnsi="Calibri"/>
          <w:color w:val="000000"/>
          <w:spacing w:val="-8"/>
          <w:sz w:val="22"/>
          <w:szCs w:val="22"/>
        </w:rPr>
        <w:t xml:space="preserve">, for your consideration, </w:t>
      </w:r>
      <w:r w:rsidR="00A26814" w:rsidRPr="004D6DE3">
        <w:rPr>
          <w:rFonts w:ascii="Calibri" w:hAnsi="Calibri"/>
          <w:color w:val="000000"/>
          <w:spacing w:val="-8"/>
          <w:sz w:val="22"/>
          <w:szCs w:val="22"/>
        </w:rPr>
        <w:t>th</w:t>
      </w:r>
      <w:r w:rsidR="00ED5E0D" w:rsidRPr="004D6DE3">
        <w:rPr>
          <w:rFonts w:ascii="Calibri" w:hAnsi="Calibri"/>
          <w:color w:val="000000"/>
          <w:spacing w:val="-8"/>
          <w:sz w:val="22"/>
          <w:szCs w:val="22"/>
        </w:rPr>
        <w:t xml:space="preserve">e following </w:t>
      </w:r>
      <w:r w:rsidR="0003376C">
        <w:rPr>
          <w:rFonts w:ascii="Calibri" w:hAnsi="Calibri"/>
          <w:color w:val="000000"/>
          <w:spacing w:val="-8"/>
          <w:sz w:val="22"/>
          <w:szCs w:val="22"/>
        </w:rPr>
        <w:t>s</w:t>
      </w:r>
      <w:r w:rsidR="00A26814" w:rsidRPr="004D6DE3">
        <w:rPr>
          <w:rFonts w:ascii="Calibri" w:hAnsi="Calibri"/>
          <w:color w:val="000000"/>
          <w:spacing w:val="-8"/>
          <w:sz w:val="22"/>
          <w:szCs w:val="22"/>
        </w:rPr>
        <w:t xml:space="preserve">tatement of work for </w:t>
      </w:r>
      <w:r>
        <w:rPr>
          <w:rFonts w:ascii="Calibri" w:hAnsi="Calibri"/>
          <w:color w:val="000000"/>
          <w:spacing w:val="-8"/>
          <w:sz w:val="22"/>
          <w:szCs w:val="22"/>
        </w:rPr>
        <w:t xml:space="preserve">Phase 2 of the master </w:t>
      </w:r>
      <w:r w:rsidR="00B102C0">
        <w:rPr>
          <w:rFonts w:ascii="Calibri" w:hAnsi="Calibri"/>
          <w:color w:val="000000"/>
          <w:spacing w:val="-8"/>
          <w:sz w:val="22"/>
          <w:szCs w:val="22"/>
        </w:rPr>
        <w:t xml:space="preserve">data </w:t>
      </w:r>
      <w:r>
        <w:rPr>
          <w:rFonts w:ascii="Calibri" w:hAnsi="Calibri"/>
          <w:color w:val="000000"/>
          <w:spacing w:val="-8"/>
          <w:sz w:val="22"/>
          <w:szCs w:val="22"/>
        </w:rPr>
        <w:t>work</w:t>
      </w:r>
      <w:r w:rsidR="00A26814" w:rsidRPr="004D6DE3">
        <w:rPr>
          <w:rFonts w:ascii="Calibri" w:hAnsi="Calibri"/>
          <w:color w:val="000000"/>
          <w:spacing w:val="-8"/>
          <w:sz w:val="22"/>
          <w:szCs w:val="22"/>
        </w:rPr>
        <w:t>.</w:t>
      </w:r>
    </w:p>
    <w:p w:rsidR="00506537" w:rsidRDefault="00ED76A9" w:rsidP="002652D6">
      <w:pPr>
        <w:shd w:val="clear" w:color="auto" w:fill="FFFFFF"/>
        <w:tabs>
          <w:tab w:val="left" w:pos="653"/>
        </w:tabs>
        <w:spacing w:before="5" w:line="250" w:lineRule="exact"/>
        <w:ind w:right="480"/>
        <w:rPr>
          <w:rFonts w:ascii="Calibri" w:hAnsi="Calibri"/>
          <w:color w:val="000000"/>
          <w:sz w:val="22"/>
          <w:szCs w:val="22"/>
        </w:rPr>
      </w:pPr>
      <w:r>
        <w:rPr>
          <w:rFonts w:ascii="Calibri" w:hAnsi="Calibri"/>
          <w:color w:val="000000"/>
          <w:sz w:val="22"/>
          <w:szCs w:val="22"/>
        </w:rPr>
        <w:t xml:space="preserve">It is recognized that the master data work associated with the cycles </w:t>
      </w:r>
      <w:r w:rsidRPr="004D6DE3">
        <w:rPr>
          <w:rFonts w:ascii="Calibri" w:hAnsi="Calibri"/>
          <w:color w:val="000000"/>
          <w:spacing w:val="-8"/>
          <w:sz w:val="22"/>
          <w:szCs w:val="22"/>
        </w:rPr>
        <w:t>Global HCM Master Data project</w:t>
      </w:r>
      <w:r>
        <w:rPr>
          <w:rFonts w:ascii="Calibri" w:hAnsi="Calibri"/>
          <w:color w:val="000000"/>
          <w:sz w:val="22"/>
          <w:szCs w:val="22"/>
        </w:rPr>
        <w:t xml:space="preserve"> may not require all of the estimated resources. Accordingly, </w:t>
      </w:r>
      <w:r w:rsidR="00506537">
        <w:rPr>
          <w:rFonts w:ascii="Calibri" w:hAnsi="Calibri"/>
          <w:color w:val="000000"/>
          <w:sz w:val="22"/>
          <w:szCs w:val="22"/>
        </w:rPr>
        <w:t xml:space="preserve">the engagement </w:t>
      </w:r>
      <w:r>
        <w:rPr>
          <w:rFonts w:ascii="Calibri" w:hAnsi="Calibri"/>
          <w:color w:val="000000"/>
          <w:sz w:val="22"/>
          <w:szCs w:val="22"/>
        </w:rPr>
        <w:t>of</w:t>
      </w:r>
      <w:r w:rsidR="00506537">
        <w:rPr>
          <w:rFonts w:ascii="Calibri" w:hAnsi="Calibri"/>
          <w:color w:val="000000"/>
          <w:sz w:val="22"/>
          <w:szCs w:val="22"/>
        </w:rPr>
        <w:t xml:space="preserve"> </w:t>
      </w:r>
      <w:r w:rsidR="00506537" w:rsidRPr="004D6DE3">
        <w:rPr>
          <w:rFonts w:ascii="BankGothic Md BT" w:hAnsi="BankGothic Md BT"/>
          <w:color w:val="E7553D"/>
          <w:spacing w:val="-8"/>
          <w:sz w:val="22"/>
          <w:szCs w:val="22"/>
        </w:rPr>
        <w:t>C</w:t>
      </w:r>
      <w:r w:rsidR="00506537">
        <w:rPr>
          <w:rFonts w:ascii="BankGothic Md BT" w:hAnsi="BankGothic Md BT"/>
          <w:color w:val="E7553D"/>
          <w:spacing w:val="-8"/>
          <w:sz w:val="22"/>
          <w:szCs w:val="22"/>
        </w:rPr>
        <w:t> </w:t>
      </w:r>
      <w:r w:rsidR="00506537" w:rsidRPr="004D6DE3">
        <w:rPr>
          <w:rFonts w:ascii="BankGothic Md BT" w:hAnsi="BankGothic Md BT"/>
          <w:color w:val="E7553D"/>
          <w:spacing w:val="-8"/>
          <w:sz w:val="22"/>
          <w:szCs w:val="22"/>
        </w:rPr>
        <w:t>CUBED Data Integrators</w:t>
      </w:r>
      <w:r w:rsidR="00506537">
        <w:rPr>
          <w:rFonts w:ascii="BankGothic Md BT" w:hAnsi="BankGothic Md BT"/>
          <w:color w:val="E7553D"/>
          <w:spacing w:val="-8"/>
          <w:sz w:val="22"/>
          <w:szCs w:val="22"/>
        </w:rPr>
        <w:t xml:space="preserve"> </w:t>
      </w:r>
      <w:r>
        <w:rPr>
          <w:rFonts w:ascii="Calibri" w:hAnsi="Calibri"/>
          <w:color w:val="000000"/>
          <w:sz w:val="22"/>
          <w:szCs w:val="22"/>
        </w:rPr>
        <w:t>ca</w:t>
      </w:r>
      <w:r w:rsidR="00506537">
        <w:rPr>
          <w:rFonts w:ascii="Calibri" w:hAnsi="Calibri"/>
          <w:color w:val="000000"/>
          <w:sz w:val="22"/>
          <w:szCs w:val="22"/>
        </w:rPr>
        <w:t>n</w:t>
      </w:r>
      <w:r>
        <w:rPr>
          <w:rFonts w:ascii="Calibri" w:hAnsi="Calibri"/>
          <w:color w:val="000000"/>
          <w:sz w:val="22"/>
          <w:szCs w:val="22"/>
        </w:rPr>
        <w:t xml:space="preserve"> be managed by</w:t>
      </w:r>
      <w:r w:rsidR="00506537">
        <w:rPr>
          <w:rFonts w:ascii="Calibri" w:hAnsi="Calibri"/>
          <w:color w:val="000000"/>
          <w:sz w:val="22"/>
          <w:szCs w:val="22"/>
        </w:rPr>
        <w:t xml:space="preserve"> Precision Drilling </w:t>
      </w:r>
      <w:r>
        <w:rPr>
          <w:rFonts w:ascii="Calibri" w:hAnsi="Calibri"/>
          <w:color w:val="000000"/>
          <w:sz w:val="22"/>
          <w:szCs w:val="22"/>
        </w:rPr>
        <w:t xml:space="preserve">as required, with the inclusion of </w:t>
      </w:r>
      <w:r w:rsidR="00D1065B">
        <w:rPr>
          <w:rFonts w:ascii="Calibri" w:hAnsi="Calibri"/>
          <w:color w:val="000000"/>
          <w:sz w:val="22"/>
          <w:szCs w:val="22"/>
        </w:rPr>
        <w:t>30 day</w:t>
      </w:r>
      <w:r>
        <w:rPr>
          <w:rFonts w:ascii="Calibri" w:hAnsi="Calibri"/>
          <w:color w:val="000000"/>
          <w:sz w:val="22"/>
          <w:szCs w:val="22"/>
        </w:rPr>
        <w:t xml:space="preserve">s’ notice provided to </w:t>
      </w:r>
      <w:r w:rsidRPr="004D6DE3">
        <w:rPr>
          <w:rFonts w:ascii="BankGothic Md BT" w:hAnsi="BankGothic Md BT"/>
          <w:color w:val="E7553D"/>
          <w:spacing w:val="-8"/>
          <w:sz w:val="22"/>
          <w:szCs w:val="22"/>
        </w:rPr>
        <w:t>C</w:t>
      </w:r>
      <w:r>
        <w:rPr>
          <w:rFonts w:ascii="BankGothic Md BT" w:hAnsi="BankGothic Md BT"/>
          <w:color w:val="E7553D"/>
          <w:spacing w:val="-8"/>
          <w:sz w:val="22"/>
          <w:szCs w:val="22"/>
        </w:rPr>
        <w:t> </w:t>
      </w:r>
      <w:r w:rsidRPr="004D6DE3">
        <w:rPr>
          <w:rFonts w:ascii="BankGothic Md BT" w:hAnsi="BankGothic Md BT"/>
          <w:color w:val="E7553D"/>
          <w:spacing w:val="-8"/>
          <w:sz w:val="22"/>
          <w:szCs w:val="22"/>
        </w:rPr>
        <w:t>CUBED Data Integrators</w:t>
      </w:r>
      <w:r>
        <w:rPr>
          <w:rFonts w:ascii="Calibri" w:hAnsi="Calibri"/>
          <w:color w:val="000000"/>
          <w:sz w:val="22"/>
          <w:szCs w:val="22"/>
        </w:rPr>
        <w:t xml:space="preserve"> in writing for the termination of resources.</w:t>
      </w:r>
    </w:p>
    <w:p w:rsidR="00506537" w:rsidRDefault="00506537" w:rsidP="002652D6">
      <w:pPr>
        <w:shd w:val="clear" w:color="auto" w:fill="FFFFFF"/>
        <w:tabs>
          <w:tab w:val="left" w:pos="653"/>
        </w:tabs>
        <w:spacing w:before="5" w:line="250" w:lineRule="exact"/>
        <w:ind w:right="480"/>
        <w:rPr>
          <w:rFonts w:ascii="Calibri" w:hAnsi="Calibri"/>
          <w:color w:val="000000"/>
          <w:sz w:val="22"/>
          <w:szCs w:val="22"/>
        </w:rPr>
      </w:pPr>
    </w:p>
    <w:p w:rsidR="001D0245" w:rsidRDefault="00ED76A9" w:rsidP="002652D6">
      <w:pPr>
        <w:shd w:val="clear" w:color="auto" w:fill="FFFFFF"/>
        <w:tabs>
          <w:tab w:val="left" w:pos="653"/>
        </w:tabs>
        <w:spacing w:before="5" w:line="250" w:lineRule="exact"/>
        <w:ind w:right="480"/>
        <w:rPr>
          <w:rFonts w:ascii="Calibri" w:hAnsi="Calibri"/>
          <w:color w:val="000000"/>
          <w:sz w:val="22"/>
          <w:szCs w:val="22"/>
        </w:rPr>
      </w:pPr>
      <w:r>
        <w:rPr>
          <w:rFonts w:ascii="Calibri" w:hAnsi="Calibri"/>
          <w:color w:val="000000"/>
          <w:sz w:val="22"/>
          <w:szCs w:val="22"/>
        </w:rPr>
        <w:t>A</w:t>
      </w:r>
      <w:r w:rsidR="001D0245">
        <w:rPr>
          <w:rFonts w:ascii="Calibri" w:hAnsi="Calibri"/>
          <w:color w:val="000000"/>
          <w:sz w:val="22"/>
          <w:szCs w:val="22"/>
        </w:rPr>
        <w:t xml:space="preserve">s </w:t>
      </w:r>
      <w:r>
        <w:rPr>
          <w:rFonts w:ascii="Calibri" w:hAnsi="Calibri"/>
          <w:color w:val="000000"/>
          <w:sz w:val="22"/>
          <w:szCs w:val="22"/>
        </w:rPr>
        <w:t>presented and developed in P</w:t>
      </w:r>
      <w:r w:rsidR="001D0245">
        <w:rPr>
          <w:rFonts w:ascii="Calibri" w:hAnsi="Calibri"/>
          <w:color w:val="000000"/>
          <w:sz w:val="22"/>
          <w:szCs w:val="22"/>
        </w:rPr>
        <w:t xml:space="preserve">hase </w:t>
      </w:r>
      <w:r>
        <w:rPr>
          <w:rFonts w:ascii="Calibri" w:hAnsi="Calibri"/>
          <w:color w:val="000000"/>
          <w:sz w:val="22"/>
          <w:szCs w:val="22"/>
        </w:rPr>
        <w:t xml:space="preserve">1, </w:t>
      </w:r>
      <w:r w:rsidR="001D0245">
        <w:rPr>
          <w:rFonts w:ascii="Calibri" w:hAnsi="Calibri"/>
          <w:color w:val="000000"/>
          <w:sz w:val="22"/>
          <w:szCs w:val="22"/>
        </w:rPr>
        <w:t xml:space="preserve">the following </w:t>
      </w:r>
      <w:r>
        <w:rPr>
          <w:rFonts w:ascii="Calibri" w:hAnsi="Calibri"/>
          <w:color w:val="000000"/>
          <w:sz w:val="22"/>
          <w:szCs w:val="22"/>
        </w:rPr>
        <w:t>services and deliverables will be provided:</w:t>
      </w: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Master Data Functional/Technical Business Analyst</w:t>
      </w: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Under the direction of the Project Manager, the Master Data Functional/Technical Business Analyst will work in conjunction with the Functional SMEs, Business Process SME’s and ABAP Developers to deliver or assist in the delivery of the following: Master Data Design Documents (DDC), Process Design Documents (PDD), Configuration Design Documents (CDD), Detailed Conversion Design Documents (DCDD), Business Process Procedures (BPP) and QA training Material.</w:t>
      </w: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Master Data Management SME</w:t>
      </w: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 xml:space="preserve">Under the direction of the Project Manager, the Master Data Management SME will work in conjunction with the Process SMEs to deliver or assist the delivery of </w:t>
      </w:r>
      <w:r w:rsidR="006B3D46">
        <w:rPr>
          <w:rFonts w:ascii="Calibri" w:hAnsi="Calibri"/>
          <w:color w:val="000000"/>
          <w:sz w:val="22"/>
          <w:szCs w:val="22"/>
        </w:rPr>
        <w:t xml:space="preserve">the following:  </w:t>
      </w:r>
      <w:r w:rsidRPr="00872E88">
        <w:rPr>
          <w:rFonts w:ascii="Calibri" w:hAnsi="Calibri"/>
          <w:color w:val="000000"/>
          <w:sz w:val="22"/>
          <w:szCs w:val="22"/>
        </w:rPr>
        <w:t>the data governance rules by data object, the data standards document (DSD) for each object, data governance scope, data governance and master data management processes, data governance models, processes and mechanisms for applying data governance rules and compliance checking as part of sustainable master data requests</w:t>
      </w:r>
      <w:r w:rsidR="000C288A">
        <w:rPr>
          <w:rFonts w:ascii="Calibri" w:hAnsi="Calibri"/>
          <w:color w:val="000000"/>
          <w:sz w:val="22"/>
          <w:szCs w:val="22"/>
        </w:rPr>
        <w:t>.</w:t>
      </w:r>
    </w:p>
    <w:p w:rsidR="00872E88" w:rsidRDefault="00872E88">
      <w:pPr>
        <w:widowControl/>
        <w:autoSpaceDE/>
        <w:autoSpaceDN/>
        <w:adjustRightInd/>
        <w:rPr>
          <w:rFonts w:ascii="Calibri" w:hAnsi="Calibri"/>
          <w:color w:val="000000"/>
          <w:sz w:val="22"/>
          <w:szCs w:val="22"/>
        </w:rPr>
      </w:pPr>
      <w:r>
        <w:rPr>
          <w:rFonts w:ascii="Calibri" w:hAnsi="Calibri"/>
          <w:color w:val="000000"/>
          <w:sz w:val="22"/>
          <w:szCs w:val="22"/>
        </w:rPr>
        <w:br w:type="page"/>
      </w:r>
    </w:p>
    <w:p w:rsidR="00872E88" w:rsidRPr="00872E88" w:rsidRDefault="006B3D46" w:rsidP="00872E88">
      <w:p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lastRenderedPageBreak/>
        <w:t xml:space="preserve">Summary of </w:t>
      </w:r>
      <w:r w:rsidR="00872E88">
        <w:rPr>
          <w:rFonts w:ascii="Calibri" w:hAnsi="Calibri"/>
          <w:color w:val="000000"/>
          <w:sz w:val="22"/>
          <w:szCs w:val="22"/>
        </w:rPr>
        <w:t>Deliverables: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Identify data objects (high level)</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object scope</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High level data quality assessment</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object owners</w:t>
      </w:r>
    </w:p>
    <w:p w:rsidR="00872E88" w:rsidRPr="00872E88" w:rsidRDefault="006B3D46"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t>“</w:t>
      </w:r>
      <w:r w:rsidR="00872E88" w:rsidRPr="00872E88">
        <w:rPr>
          <w:rFonts w:ascii="Calibri" w:hAnsi="Calibri"/>
          <w:color w:val="000000"/>
          <w:sz w:val="22"/>
          <w:szCs w:val="22"/>
        </w:rPr>
        <w:t>TO BE</w:t>
      </w:r>
      <w:r>
        <w:rPr>
          <w:rFonts w:ascii="Calibri" w:hAnsi="Calibri"/>
          <w:color w:val="000000"/>
          <w:sz w:val="22"/>
          <w:szCs w:val="22"/>
        </w:rPr>
        <w:t>”</w:t>
      </w:r>
      <w:r w:rsidR="00872E88" w:rsidRPr="00872E88">
        <w:rPr>
          <w:rFonts w:ascii="Calibri" w:hAnsi="Calibri"/>
          <w:color w:val="000000"/>
          <w:sz w:val="22"/>
          <w:szCs w:val="22"/>
        </w:rPr>
        <w:t xml:space="preserve"> data standards</w:t>
      </w:r>
    </w:p>
    <w:p w:rsidR="00872E88" w:rsidRPr="00872E88" w:rsidRDefault="006B3D46"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t>“</w:t>
      </w:r>
      <w:r w:rsidR="00872E88" w:rsidRPr="00872E88">
        <w:rPr>
          <w:rFonts w:ascii="Calibri" w:hAnsi="Calibri"/>
          <w:color w:val="000000"/>
          <w:sz w:val="22"/>
          <w:szCs w:val="22"/>
        </w:rPr>
        <w:t>TO BE</w:t>
      </w:r>
      <w:r>
        <w:rPr>
          <w:rFonts w:ascii="Calibri" w:hAnsi="Calibri"/>
          <w:color w:val="000000"/>
          <w:sz w:val="22"/>
          <w:szCs w:val="22"/>
        </w:rPr>
        <w:t>”</w:t>
      </w:r>
      <w:r w:rsidR="00872E88" w:rsidRPr="00872E88">
        <w:rPr>
          <w:rFonts w:ascii="Calibri" w:hAnsi="Calibri"/>
          <w:color w:val="000000"/>
          <w:sz w:val="22"/>
          <w:szCs w:val="22"/>
        </w:rPr>
        <w:t xml:space="preserve"> master data processes (DQM and changes to request/gathering</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Governance model and owner accountability</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Formalize master data standards and master data process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business process do</w:t>
      </w:r>
      <w:r>
        <w:rPr>
          <w:rFonts w:ascii="Calibri" w:hAnsi="Calibri"/>
          <w:color w:val="000000"/>
          <w:sz w:val="22"/>
          <w:szCs w:val="22"/>
        </w:rPr>
        <w:t xml:space="preserve">cumentation and creation of new </w:t>
      </w:r>
      <w:r w:rsidRPr="00872E88">
        <w:rPr>
          <w:rFonts w:ascii="Calibri" w:hAnsi="Calibri"/>
          <w:color w:val="000000"/>
          <w:sz w:val="22"/>
          <w:szCs w:val="22"/>
        </w:rPr>
        <w:t>process documentation specific to new master data management  processes that are external to a business process(PDD)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configuration documentation and input to master data specific design &amp; build(CCD)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Quality Management reporting</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Detailed cleansing specifications (DCDD)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Create data content (missing/other sources)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business process procedure (BPP) documentation and creation of new process procedure documentation specific to new master data management  processes QA training material</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cleansed data</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cleansed data in the quality assurance / test systems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Perform data cleansing in prod</w:t>
      </w:r>
    </w:p>
    <w:p w:rsidR="001D0245"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Operationalizing of new governance and quality management processes</w:t>
      </w:r>
    </w:p>
    <w:p w:rsidR="00872E88" w:rsidRDefault="00872E88"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r w:rsidRPr="004D6DE3">
        <w:rPr>
          <w:rFonts w:ascii="Calibri" w:hAnsi="Calibri"/>
          <w:noProof/>
          <w:color w:val="000000"/>
          <w:spacing w:val="-8"/>
          <w:sz w:val="24"/>
          <w:szCs w:val="24"/>
        </w:rPr>
        <w:drawing>
          <wp:anchor distT="0" distB="0" distL="114300" distR="114300" simplePos="0" relativeHeight="251658240" behindDoc="0" locked="0" layoutInCell="1" allowOverlap="1" wp14:anchorId="0E795293" wp14:editId="5F618207">
            <wp:simplePos x="0" y="0"/>
            <wp:positionH relativeFrom="margin">
              <wp:posOffset>121285</wp:posOffset>
            </wp:positionH>
            <wp:positionV relativeFrom="margin">
              <wp:posOffset>6113780</wp:posOffset>
            </wp:positionV>
            <wp:extent cx="2047875" cy="11709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_electronic with title.bmp"/>
                    <pic:cNvPicPr/>
                  </pic:nvPicPr>
                  <pic:blipFill>
                    <a:blip r:embed="rId9">
                      <a:extLst>
                        <a:ext uri="{28A0092B-C50C-407E-A947-70E740481C1C}">
                          <a14:useLocalDpi xmlns:a14="http://schemas.microsoft.com/office/drawing/2010/main" val="0"/>
                        </a:ext>
                      </a:extLst>
                    </a:blip>
                    <a:stretch>
                      <a:fillRect/>
                    </a:stretch>
                  </pic:blipFill>
                  <pic:spPr>
                    <a:xfrm>
                      <a:off x="0" y="0"/>
                      <a:ext cx="2047875" cy="1170940"/>
                    </a:xfrm>
                    <a:prstGeom prst="rect">
                      <a:avLst/>
                    </a:prstGeom>
                  </pic:spPr>
                </pic:pic>
              </a:graphicData>
            </a:graphic>
            <wp14:sizeRelH relativeFrom="margin">
              <wp14:pctWidth>0</wp14:pctWidth>
            </wp14:sizeRelH>
            <wp14:sizeRelV relativeFrom="margin">
              <wp14:pctHeight>0</wp14:pctHeight>
            </wp14:sizeRelV>
          </wp:anchor>
        </w:drawing>
      </w: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sectPr w:rsidR="006B3D46">
          <w:headerReference w:type="default" r:id="rId10"/>
          <w:footerReference w:type="default" r:id="rId11"/>
          <w:type w:val="continuous"/>
          <w:pgSz w:w="12240" w:h="15840"/>
          <w:pgMar w:top="1440" w:right="2738" w:bottom="720" w:left="1774" w:header="720" w:footer="720" w:gutter="0"/>
          <w:cols w:space="60"/>
          <w:noEndnote/>
        </w:sectPr>
      </w:pPr>
    </w:p>
    <w:p w:rsidR="0003281E" w:rsidRPr="004D6DE3" w:rsidRDefault="0003281E" w:rsidP="006B3D46">
      <w:pPr>
        <w:widowControl/>
        <w:autoSpaceDE/>
        <w:autoSpaceDN/>
        <w:adjustRightInd/>
        <w:jc w:val="center"/>
        <w:rPr>
          <w:rFonts w:asciiTheme="minorHAnsi" w:hAnsiTheme="minorHAnsi"/>
          <w:b/>
          <w:sz w:val="32"/>
          <w:szCs w:val="22"/>
        </w:rPr>
      </w:pPr>
      <w:r w:rsidRPr="004D6DE3">
        <w:rPr>
          <w:rFonts w:asciiTheme="minorHAnsi" w:hAnsiTheme="minorHAnsi"/>
          <w:b/>
          <w:sz w:val="32"/>
          <w:szCs w:val="22"/>
        </w:rPr>
        <w:lastRenderedPageBreak/>
        <w:t>Statement of Work</w:t>
      </w:r>
    </w:p>
    <w:p w:rsidR="00E55F01" w:rsidRPr="004D6DE3" w:rsidRDefault="00E55F01" w:rsidP="0003281E">
      <w:pPr>
        <w:ind w:left="142"/>
        <w:rPr>
          <w:rFonts w:asciiTheme="minorHAnsi" w:hAnsiTheme="minorHAnsi"/>
          <w:b/>
          <w:sz w:val="22"/>
          <w:szCs w:val="22"/>
          <w:u w:val="single"/>
        </w:rPr>
      </w:pPr>
      <w:r w:rsidRPr="004D6DE3">
        <w:rPr>
          <w:rFonts w:asciiTheme="minorHAnsi" w:hAnsiTheme="minorHAnsi"/>
          <w:b/>
          <w:sz w:val="22"/>
          <w:szCs w:val="22"/>
          <w:u w:val="single"/>
        </w:rPr>
        <w:t>Term of Contract</w:t>
      </w:r>
    </w:p>
    <w:p w:rsidR="0003281E" w:rsidRPr="004D6DE3" w:rsidRDefault="0003281E" w:rsidP="0003281E">
      <w:pPr>
        <w:ind w:left="142"/>
        <w:jc w:val="center"/>
        <w:rPr>
          <w:rFonts w:asciiTheme="minorHAnsi" w:hAnsiTheme="minorHAnsi"/>
          <w:sz w:val="22"/>
          <w:szCs w:val="22"/>
        </w:rPr>
      </w:pPr>
    </w:p>
    <w:tbl>
      <w:tblPr>
        <w:tblStyle w:val="TableGrid"/>
        <w:tblW w:w="84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79"/>
        <w:gridCol w:w="5981"/>
      </w:tblGrid>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Client:</w:t>
            </w:r>
          </w:p>
        </w:tc>
        <w:tc>
          <w:tcPr>
            <w:tcW w:w="5981" w:type="dxa"/>
          </w:tcPr>
          <w:p w:rsidR="004562AC" w:rsidRPr="004D6DE3" w:rsidRDefault="004562AC" w:rsidP="00B45F6F">
            <w:pPr>
              <w:ind w:left="142"/>
              <w:rPr>
                <w:rFonts w:asciiTheme="minorHAnsi" w:hAnsiTheme="minorHAnsi"/>
                <w:sz w:val="22"/>
                <w:szCs w:val="22"/>
              </w:rPr>
            </w:pPr>
            <w:r w:rsidRPr="004D6DE3">
              <w:rPr>
                <w:rFonts w:asciiTheme="minorHAnsi" w:hAnsiTheme="minorHAnsi"/>
                <w:sz w:val="22"/>
                <w:szCs w:val="22"/>
              </w:rPr>
              <w:t>Precision Drilling Corporation</w:t>
            </w:r>
          </w:p>
        </w:tc>
      </w:tr>
      <w:tr w:rsidR="00CF4A80" w:rsidRPr="004D6DE3" w:rsidTr="00411ECB">
        <w:tc>
          <w:tcPr>
            <w:tcW w:w="2479" w:type="dxa"/>
          </w:tcPr>
          <w:p w:rsidR="00CF4A80" w:rsidRPr="004D6DE3" w:rsidRDefault="00D1065B" w:rsidP="00B45F6F">
            <w:pPr>
              <w:ind w:left="142"/>
              <w:rPr>
                <w:rFonts w:asciiTheme="minorHAnsi" w:hAnsiTheme="minorHAnsi"/>
                <w:b/>
                <w:sz w:val="22"/>
                <w:szCs w:val="22"/>
              </w:rPr>
            </w:pPr>
            <w:r>
              <w:rPr>
                <w:rFonts w:asciiTheme="minorHAnsi" w:hAnsiTheme="minorHAnsi"/>
                <w:b/>
                <w:sz w:val="22"/>
                <w:szCs w:val="22"/>
              </w:rPr>
              <w:t>Phase 2</w:t>
            </w:r>
          </w:p>
        </w:tc>
        <w:tc>
          <w:tcPr>
            <w:tcW w:w="5981" w:type="dxa"/>
          </w:tcPr>
          <w:p w:rsidR="00CF4A80" w:rsidRPr="004D6DE3" w:rsidRDefault="00CF4A80" w:rsidP="00B45F6F">
            <w:pPr>
              <w:ind w:left="142"/>
              <w:rPr>
                <w:rFonts w:asciiTheme="minorHAnsi" w:hAnsiTheme="minorHAnsi"/>
                <w:sz w:val="22"/>
                <w:szCs w:val="22"/>
              </w:rPr>
            </w:pPr>
          </w:p>
        </w:tc>
      </w:tr>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Start Date:</w:t>
            </w:r>
          </w:p>
        </w:tc>
        <w:tc>
          <w:tcPr>
            <w:tcW w:w="5981" w:type="dxa"/>
          </w:tcPr>
          <w:p w:rsidR="004562AC" w:rsidRPr="004D6DE3" w:rsidRDefault="001E1ABD" w:rsidP="001D0245">
            <w:pPr>
              <w:ind w:left="142"/>
              <w:rPr>
                <w:rFonts w:asciiTheme="minorHAnsi" w:hAnsiTheme="minorHAnsi"/>
                <w:sz w:val="22"/>
                <w:szCs w:val="22"/>
              </w:rPr>
            </w:pPr>
            <w:r w:rsidRPr="004D6DE3">
              <w:rPr>
                <w:rFonts w:asciiTheme="minorHAnsi" w:hAnsiTheme="minorHAnsi"/>
                <w:sz w:val="22"/>
                <w:szCs w:val="22"/>
              </w:rPr>
              <w:t>2015-0</w:t>
            </w:r>
            <w:r w:rsidR="00872E88">
              <w:rPr>
                <w:rFonts w:asciiTheme="minorHAnsi" w:hAnsiTheme="minorHAnsi"/>
                <w:sz w:val="22"/>
                <w:szCs w:val="22"/>
              </w:rPr>
              <w:t>6-08</w:t>
            </w:r>
          </w:p>
        </w:tc>
      </w:tr>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End Date:</w:t>
            </w:r>
          </w:p>
        </w:tc>
        <w:tc>
          <w:tcPr>
            <w:tcW w:w="5981" w:type="dxa"/>
          </w:tcPr>
          <w:p w:rsidR="004562AC" w:rsidRPr="004D6DE3" w:rsidRDefault="004B49F9" w:rsidP="00D1065B">
            <w:pPr>
              <w:ind w:left="142"/>
              <w:rPr>
                <w:rFonts w:asciiTheme="minorHAnsi" w:hAnsiTheme="minorHAnsi"/>
                <w:sz w:val="22"/>
                <w:szCs w:val="22"/>
              </w:rPr>
            </w:pPr>
            <w:r>
              <w:rPr>
                <w:rFonts w:asciiTheme="minorHAnsi" w:hAnsiTheme="minorHAnsi"/>
                <w:sz w:val="22"/>
                <w:szCs w:val="22"/>
              </w:rPr>
              <w:t>2015-</w:t>
            </w:r>
            <w:r w:rsidR="00872E88">
              <w:rPr>
                <w:rFonts w:asciiTheme="minorHAnsi" w:hAnsiTheme="minorHAnsi"/>
                <w:sz w:val="22"/>
                <w:szCs w:val="22"/>
              </w:rPr>
              <w:t>1</w:t>
            </w:r>
            <w:r w:rsidR="00D1065B">
              <w:rPr>
                <w:rFonts w:asciiTheme="minorHAnsi" w:hAnsiTheme="minorHAnsi"/>
                <w:sz w:val="22"/>
                <w:szCs w:val="22"/>
              </w:rPr>
              <w:t>1</w:t>
            </w:r>
            <w:r>
              <w:rPr>
                <w:rFonts w:asciiTheme="minorHAnsi" w:hAnsiTheme="minorHAnsi"/>
                <w:sz w:val="22"/>
                <w:szCs w:val="22"/>
              </w:rPr>
              <w:t>-</w:t>
            </w:r>
            <w:r w:rsidR="00D1065B">
              <w:rPr>
                <w:rFonts w:asciiTheme="minorHAnsi" w:hAnsiTheme="minorHAnsi"/>
                <w:sz w:val="22"/>
                <w:szCs w:val="22"/>
              </w:rPr>
              <w:t>30</w:t>
            </w:r>
          </w:p>
        </w:tc>
      </w:tr>
    </w:tbl>
    <w:p w:rsidR="00212E64" w:rsidRPr="004D6DE3" w:rsidRDefault="00212E64" w:rsidP="0003281E">
      <w:pPr>
        <w:shd w:val="clear" w:color="auto" w:fill="FFFFFF"/>
        <w:rPr>
          <w:rFonts w:ascii="Calibri" w:hAnsi="Calibri" w:cs="Times New Roman"/>
          <w:color w:val="000000"/>
          <w:sz w:val="24"/>
          <w:szCs w:val="24"/>
        </w:rPr>
      </w:pPr>
    </w:p>
    <w:p w:rsidR="001E1ABD" w:rsidRPr="004D6DE3" w:rsidRDefault="001E1ABD"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Background</w:t>
      </w:r>
    </w:p>
    <w:p w:rsidR="001E1ABD" w:rsidRPr="004D6DE3"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Precision Drilling has launched the </w:t>
      </w:r>
      <w:r w:rsidRPr="004D6DE3">
        <w:rPr>
          <w:rFonts w:ascii="Calibri" w:hAnsi="Calibri" w:cs="Times New Roman"/>
          <w:i/>
          <w:color w:val="000000"/>
          <w:sz w:val="22"/>
          <w:szCs w:val="22"/>
        </w:rPr>
        <w:t xml:space="preserve">Global HCM Master Data </w:t>
      </w:r>
      <w:r w:rsidRPr="004D6DE3">
        <w:rPr>
          <w:rFonts w:ascii="Calibri" w:hAnsi="Calibri" w:cs="Times New Roman"/>
          <w:color w:val="000000"/>
          <w:sz w:val="22"/>
          <w:szCs w:val="22"/>
        </w:rPr>
        <w:t>project that will deliver a set of standardized business processes, enterprise-wide, for the management of HCM master data (organizations, positions, personnel).</w:t>
      </w:r>
    </w:p>
    <w:p w:rsidR="001E1ABD" w:rsidRPr="004D6DE3" w:rsidRDefault="001E1ABD" w:rsidP="0003281E">
      <w:pPr>
        <w:shd w:val="clear" w:color="auto" w:fill="FFFFFF"/>
        <w:rPr>
          <w:rFonts w:ascii="Calibri" w:hAnsi="Calibri" w:cs="Times New Roman"/>
          <w:color w:val="000000"/>
          <w:sz w:val="22"/>
          <w:szCs w:val="22"/>
        </w:rPr>
      </w:pPr>
    </w:p>
    <w:p w:rsidR="001E1ABD"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Not included in that project is any form of master data ownership, standards and governance that would ensure the revised processes deliver consistent content within the master data. </w:t>
      </w:r>
    </w:p>
    <w:p w:rsidR="00A46917" w:rsidRPr="004D6DE3" w:rsidRDefault="00A46917" w:rsidP="0003281E">
      <w:pPr>
        <w:shd w:val="clear" w:color="auto" w:fill="FFFFFF"/>
        <w:rPr>
          <w:rFonts w:ascii="Calibri" w:hAnsi="Calibri" w:cs="Times New Roman"/>
          <w:color w:val="000000"/>
          <w:sz w:val="22"/>
          <w:szCs w:val="22"/>
        </w:rPr>
      </w:pPr>
    </w:p>
    <w:p w:rsidR="001E1ABD" w:rsidRPr="004D6DE3"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Without these additional components, </w:t>
      </w:r>
      <w:r w:rsidR="00EC01CF" w:rsidRPr="004D6DE3">
        <w:rPr>
          <w:rFonts w:ascii="Calibri" w:hAnsi="Calibri" w:cs="Times New Roman"/>
          <w:color w:val="000000"/>
          <w:sz w:val="22"/>
          <w:szCs w:val="22"/>
        </w:rPr>
        <w:t>there is a very real risk that, while the processes for requesting and creating are aligned across the enterprise, the data will not be able to support enterprise-wide management and reporting because of inconsistencies in the data content.</w:t>
      </w:r>
    </w:p>
    <w:p w:rsidR="002F70F0" w:rsidRPr="004D6DE3" w:rsidRDefault="002F70F0" w:rsidP="0003281E">
      <w:pPr>
        <w:shd w:val="clear" w:color="auto" w:fill="FFFFFF"/>
        <w:rPr>
          <w:rFonts w:ascii="Calibri" w:hAnsi="Calibri" w:cs="Times New Roman"/>
          <w:color w:val="000000"/>
          <w:sz w:val="22"/>
          <w:szCs w:val="22"/>
        </w:rPr>
      </w:pPr>
    </w:p>
    <w:p w:rsidR="002F70F0" w:rsidRPr="004D6DE3" w:rsidRDefault="002F70F0" w:rsidP="0003281E">
      <w:pPr>
        <w:shd w:val="clear" w:color="auto" w:fill="FFFFFF"/>
        <w:rPr>
          <w:rFonts w:ascii="Calibri" w:hAnsi="Calibri" w:cs="Times New Roman"/>
          <w:color w:val="000000"/>
          <w:sz w:val="22"/>
          <w:szCs w:val="22"/>
        </w:rPr>
      </w:pPr>
      <w:r w:rsidRPr="004D6DE3">
        <w:rPr>
          <w:rFonts w:ascii="BankGothic Md BT" w:hAnsi="BankGothic Md BT"/>
          <w:color w:val="E7553D"/>
          <w:spacing w:val="-8"/>
          <w:sz w:val="22"/>
          <w:szCs w:val="22"/>
        </w:rPr>
        <w:t xml:space="preserve">C CUBED Data Integrators </w:t>
      </w:r>
      <w:r w:rsidRPr="004D6DE3">
        <w:rPr>
          <w:rFonts w:ascii="Calibri" w:hAnsi="Calibri" w:cs="Times New Roman"/>
          <w:color w:val="000000"/>
          <w:sz w:val="22"/>
          <w:szCs w:val="22"/>
        </w:rPr>
        <w:t xml:space="preserve">will deliver the additional components efficiently and cost-effectively in conjunction with the </w:t>
      </w:r>
      <w:r w:rsidRPr="004D6DE3">
        <w:rPr>
          <w:rFonts w:ascii="Calibri" w:hAnsi="Calibri" w:cs="Times New Roman"/>
          <w:i/>
          <w:color w:val="000000"/>
          <w:sz w:val="22"/>
          <w:szCs w:val="22"/>
        </w:rPr>
        <w:t>Global HCM Master Data</w:t>
      </w:r>
      <w:r w:rsidRPr="004D6DE3">
        <w:rPr>
          <w:rFonts w:ascii="Calibri" w:hAnsi="Calibri" w:cs="Times New Roman"/>
          <w:color w:val="000000"/>
          <w:sz w:val="22"/>
          <w:szCs w:val="22"/>
        </w:rPr>
        <w:t xml:space="preserve"> project.</w:t>
      </w:r>
    </w:p>
    <w:p w:rsidR="00EC01CF" w:rsidRPr="004D6DE3" w:rsidRDefault="00EC01CF" w:rsidP="0003281E">
      <w:pPr>
        <w:shd w:val="clear" w:color="auto" w:fill="FFFFFF"/>
        <w:rPr>
          <w:rFonts w:ascii="Calibri" w:hAnsi="Calibri" w:cs="Times New Roman"/>
          <w:color w:val="000000"/>
          <w:sz w:val="22"/>
          <w:szCs w:val="22"/>
        </w:rPr>
      </w:pPr>
    </w:p>
    <w:p w:rsidR="00EC01CF" w:rsidRPr="004D6DE3" w:rsidRDefault="002F70F0"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Methodology</w:t>
      </w:r>
    </w:p>
    <w:p w:rsidR="002F70F0" w:rsidRPr="004D6DE3" w:rsidRDefault="002F70F0"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A synopsis of the approach</w:t>
      </w:r>
      <w:r w:rsidR="002118BA">
        <w:rPr>
          <w:rFonts w:ascii="Calibri" w:hAnsi="Calibri" w:cs="Times New Roman"/>
          <w:color w:val="000000"/>
          <w:sz w:val="22"/>
          <w:szCs w:val="22"/>
        </w:rPr>
        <w:t>, to be incorporated into the planning,</w:t>
      </w:r>
      <w:r w:rsidRPr="004D6DE3">
        <w:rPr>
          <w:rFonts w:ascii="Calibri" w:hAnsi="Calibri" w:cs="Times New Roman"/>
          <w:color w:val="000000"/>
          <w:sz w:val="22"/>
          <w:szCs w:val="22"/>
        </w:rPr>
        <w:t xml:space="preserve"> is outlined below.</w:t>
      </w:r>
      <w:r w:rsidR="0003376C">
        <w:rPr>
          <w:rFonts w:ascii="Calibri" w:hAnsi="Calibri" w:cs="Times New Roman"/>
          <w:color w:val="000000"/>
          <w:sz w:val="22"/>
          <w:szCs w:val="22"/>
        </w:rPr>
        <w:t xml:space="preserve"> All aspects of this will conform to SAP</w:t>
      </w:r>
      <w:r w:rsidR="0003376C" w:rsidRPr="0003376C">
        <w:rPr>
          <w:rFonts w:ascii="Calibri" w:hAnsi="Calibri" w:cs="Times New Roman"/>
          <w:color w:val="000000"/>
          <w:sz w:val="22"/>
          <w:szCs w:val="22"/>
        </w:rPr>
        <w:t xml:space="preserve"> best practice</w:t>
      </w:r>
      <w:r w:rsidR="00081974">
        <w:rPr>
          <w:rFonts w:ascii="Calibri" w:hAnsi="Calibri" w:cs="Times New Roman"/>
          <w:color w:val="000000"/>
          <w:sz w:val="22"/>
          <w:szCs w:val="22"/>
        </w:rPr>
        <w:t>s</w:t>
      </w:r>
      <w:r w:rsidR="0003376C" w:rsidRPr="0003376C">
        <w:rPr>
          <w:rFonts w:ascii="Calibri" w:hAnsi="Calibri" w:cs="Times New Roman"/>
          <w:color w:val="000000"/>
          <w:sz w:val="22"/>
          <w:szCs w:val="22"/>
        </w:rPr>
        <w:t xml:space="preserve"> and </w:t>
      </w:r>
      <w:r w:rsidR="00081974">
        <w:rPr>
          <w:rFonts w:ascii="Calibri" w:hAnsi="Calibri" w:cs="Times New Roman"/>
          <w:color w:val="000000"/>
          <w:sz w:val="22"/>
          <w:szCs w:val="22"/>
        </w:rPr>
        <w:t xml:space="preserve">the </w:t>
      </w:r>
      <w:r w:rsidR="0003376C">
        <w:rPr>
          <w:rFonts w:ascii="Calibri" w:hAnsi="Calibri" w:cs="Times New Roman"/>
          <w:color w:val="000000"/>
          <w:sz w:val="22"/>
          <w:szCs w:val="22"/>
        </w:rPr>
        <w:t>SAP</w:t>
      </w:r>
      <w:r w:rsidR="0003376C" w:rsidRPr="0003376C">
        <w:rPr>
          <w:rFonts w:ascii="Calibri" w:hAnsi="Calibri" w:cs="Times New Roman"/>
          <w:color w:val="000000"/>
          <w:sz w:val="22"/>
          <w:szCs w:val="22"/>
        </w:rPr>
        <w:t xml:space="preserve"> </w:t>
      </w:r>
      <w:r w:rsidR="00DF067B">
        <w:rPr>
          <w:rFonts w:ascii="Calibri" w:hAnsi="Calibri" w:cs="Times New Roman"/>
          <w:color w:val="000000"/>
          <w:sz w:val="22"/>
          <w:szCs w:val="22"/>
        </w:rPr>
        <w:t>ASAP</w:t>
      </w:r>
      <w:r w:rsidR="0003376C" w:rsidRPr="0003376C">
        <w:rPr>
          <w:rFonts w:ascii="Calibri" w:hAnsi="Calibri" w:cs="Times New Roman"/>
          <w:color w:val="000000"/>
          <w:sz w:val="22"/>
          <w:szCs w:val="22"/>
        </w:rPr>
        <w:t xml:space="preserve"> </w:t>
      </w:r>
      <w:r w:rsidR="00081974">
        <w:rPr>
          <w:rFonts w:ascii="Calibri" w:hAnsi="Calibri" w:cs="Times New Roman"/>
          <w:color w:val="000000"/>
          <w:sz w:val="22"/>
          <w:szCs w:val="22"/>
        </w:rPr>
        <w:t>M</w:t>
      </w:r>
      <w:r w:rsidR="0003376C" w:rsidRPr="0003376C">
        <w:rPr>
          <w:rFonts w:ascii="Calibri" w:hAnsi="Calibri" w:cs="Times New Roman"/>
          <w:color w:val="000000"/>
          <w:sz w:val="22"/>
          <w:szCs w:val="22"/>
        </w:rPr>
        <w:t>ethodology</w:t>
      </w:r>
      <w:r w:rsidR="0003376C">
        <w:rPr>
          <w:rFonts w:ascii="Calibri" w:hAnsi="Calibri" w:cs="Times New Roman"/>
          <w:color w:val="000000"/>
          <w:sz w:val="22"/>
          <w:szCs w:val="22"/>
        </w:rPr>
        <w:t>.</w:t>
      </w:r>
    </w:p>
    <w:p w:rsidR="002F70F0" w:rsidRPr="004D6DE3" w:rsidRDefault="002F70F0" w:rsidP="0003281E">
      <w:pPr>
        <w:shd w:val="clear" w:color="auto" w:fill="FFFFFF"/>
        <w:rPr>
          <w:rFonts w:ascii="Calibri" w:hAnsi="Calibri" w:cs="Times New Roman"/>
          <w:color w:val="000000"/>
          <w:sz w:val="22"/>
          <w:szCs w:val="22"/>
        </w:rPr>
      </w:pPr>
    </w:p>
    <w:p w:rsidR="002F70F0" w:rsidRPr="004D6DE3" w:rsidRDefault="002F70F0"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Considering each master data object (e.g. Position) separately:</w:t>
      </w:r>
    </w:p>
    <w:p w:rsidR="002F70F0" w:rsidRPr="004D6DE3" w:rsidRDefault="002F70F0"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Identify data object owner</w:t>
      </w:r>
    </w:p>
    <w:p w:rsidR="002F70F0"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Document the current data requirements</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Review gaps (reporting, process “pain points”, inconsistencies)</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Review HCM business processes (new from HCM project and existing out-of-scope for HCM master data)</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Develop a data standard</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Based upon HCM business processes</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Focus on required and conditionally required fields first</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Consider “use-cases” (significant regional requirements, per-hire vs. post-hire enrichment)</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Include naming conventions and hierarchy models as applicable</w:t>
      </w:r>
    </w:p>
    <w:p w:rsidR="009351BF" w:rsidRPr="004D6DE3" w:rsidRDefault="009351BF" w:rsidP="009351BF">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 xml:space="preserve">Develop any master data specific processes (sub-process </w:t>
      </w:r>
      <w:r w:rsidR="00691FF3" w:rsidRPr="004D6DE3">
        <w:rPr>
          <w:rFonts w:ascii="Calibri" w:hAnsi="Calibri"/>
          <w:color w:val="000000"/>
          <w:sz w:val="22"/>
          <w:szCs w:val="22"/>
        </w:rPr>
        <w:t>to the HCM Master data processes)</w:t>
      </w:r>
    </w:p>
    <w:p w:rsidR="001D0245" w:rsidRDefault="001D0245">
      <w:pPr>
        <w:widowControl/>
        <w:autoSpaceDE/>
        <w:autoSpaceDN/>
        <w:adjustRightInd/>
        <w:rPr>
          <w:rFonts w:ascii="Calibri" w:hAnsi="Calibri" w:cs="Times New Roman"/>
          <w:color w:val="000000"/>
          <w:sz w:val="22"/>
          <w:szCs w:val="22"/>
        </w:rPr>
      </w:pPr>
      <w:r>
        <w:rPr>
          <w:rFonts w:ascii="Calibri" w:hAnsi="Calibri"/>
          <w:color w:val="000000"/>
          <w:sz w:val="22"/>
          <w:szCs w:val="22"/>
        </w:rPr>
        <w:br w:type="page"/>
      </w:r>
    </w:p>
    <w:p w:rsidR="009351BF" w:rsidRPr="004D6DE3" w:rsidRDefault="00691FF3" w:rsidP="009351BF">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lastRenderedPageBreak/>
        <w:t>Identify gaps by p</w:t>
      </w:r>
      <w:r w:rsidR="009351BF" w:rsidRPr="004D6DE3">
        <w:rPr>
          <w:rFonts w:ascii="Calibri" w:hAnsi="Calibri"/>
          <w:color w:val="000000"/>
          <w:sz w:val="22"/>
          <w:szCs w:val="22"/>
        </w:rPr>
        <w:t>rofile existing data against the standard</w:t>
      </w:r>
    </w:p>
    <w:p w:rsidR="00691FF3" w:rsidRPr="004D6DE3" w:rsidRDefault="00691FF3" w:rsidP="00691FF3">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Use existing tools/reporting</w:t>
      </w:r>
    </w:p>
    <w:p w:rsidR="00691FF3" w:rsidRPr="004D6DE3" w:rsidRDefault="00691FF3" w:rsidP="00691FF3">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Develop as sustainable for post go-live data quality management</w:t>
      </w:r>
    </w:p>
    <w:p w:rsidR="00691FF3" w:rsidRPr="004D6DE3" w:rsidRDefault="00691FF3"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Identify gaps in SAP configuration when compared to the standard</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Develop governance model</w:t>
      </w:r>
    </w:p>
    <w:p w:rsidR="00A1772D" w:rsidRPr="004D6DE3" w:rsidRDefault="00A1772D" w:rsidP="00A1772D">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Owner accountabilities</w:t>
      </w:r>
    </w:p>
    <w:p w:rsidR="00A1772D" w:rsidRPr="004D6DE3" w:rsidRDefault="00A1772D" w:rsidP="00A1772D">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Identify governance SMEs and their accountabilities</w:t>
      </w:r>
    </w:p>
    <w:p w:rsidR="00691FF3"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configuration changes</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Cleanse data</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data standard</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governance</w:t>
      </w:r>
    </w:p>
    <w:p w:rsidR="002F70F0" w:rsidRPr="004D6DE3" w:rsidRDefault="002F70F0" w:rsidP="0003281E">
      <w:pPr>
        <w:shd w:val="clear" w:color="auto" w:fill="FFFFFF"/>
        <w:rPr>
          <w:rFonts w:ascii="Calibri" w:hAnsi="Calibri" w:cs="Times New Roman"/>
          <w:color w:val="000000"/>
          <w:sz w:val="22"/>
          <w:szCs w:val="22"/>
        </w:rPr>
      </w:pPr>
    </w:p>
    <w:p w:rsidR="00A1772D" w:rsidRPr="004D6DE3" w:rsidRDefault="00A1772D" w:rsidP="0003281E">
      <w:pPr>
        <w:shd w:val="clear" w:color="auto" w:fill="FFFFFF"/>
        <w:rPr>
          <w:rFonts w:ascii="Calibri" w:hAnsi="Calibri" w:cs="Times New Roman"/>
          <w:color w:val="000000"/>
          <w:sz w:val="22"/>
          <w:szCs w:val="22"/>
          <w:u w:val="single"/>
        </w:rPr>
      </w:pPr>
      <w:r w:rsidRPr="004D6DE3">
        <w:rPr>
          <w:rFonts w:ascii="Calibri" w:hAnsi="Calibri" w:cs="Times New Roman"/>
          <w:b/>
          <w:color w:val="000000"/>
          <w:sz w:val="22"/>
          <w:szCs w:val="22"/>
          <w:u w:val="single"/>
        </w:rPr>
        <w:t>Timeline</w:t>
      </w:r>
    </w:p>
    <w:p w:rsidR="00A1772D" w:rsidRPr="004D6DE3" w:rsidRDefault="00A1772D" w:rsidP="0003281E">
      <w:pPr>
        <w:shd w:val="clear" w:color="auto" w:fill="FFFFFF"/>
        <w:rPr>
          <w:rFonts w:ascii="Calibri" w:hAnsi="Calibri" w:cs="Times New Roman"/>
          <w:color w:val="000000"/>
          <w:sz w:val="22"/>
          <w:szCs w:val="22"/>
        </w:rPr>
      </w:pPr>
    </w:p>
    <w:p w:rsidR="00B45F6F" w:rsidRDefault="004D6DE3" w:rsidP="00411ECB">
      <w:pPr>
        <w:shd w:val="clear" w:color="auto" w:fill="FFFFFF"/>
        <w:rPr>
          <w:rFonts w:ascii="Calibri" w:hAnsi="Calibri"/>
          <w:color w:val="000000"/>
          <w:sz w:val="22"/>
          <w:szCs w:val="22"/>
        </w:rPr>
      </w:pPr>
      <w:r>
        <w:rPr>
          <w:rFonts w:ascii="Calibri" w:hAnsi="Calibri"/>
          <w:color w:val="000000"/>
          <w:sz w:val="22"/>
          <w:szCs w:val="22"/>
        </w:rPr>
        <w:t>Phase</w:t>
      </w:r>
      <w:r w:rsidRPr="004D6DE3">
        <w:rPr>
          <w:rFonts w:ascii="Calibri" w:hAnsi="Calibri"/>
          <w:color w:val="000000"/>
          <w:sz w:val="22"/>
          <w:szCs w:val="22"/>
        </w:rPr>
        <w:t xml:space="preserve"> </w:t>
      </w:r>
      <w:r w:rsidR="00872E88">
        <w:rPr>
          <w:rFonts w:ascii="Calibri" w:hAnsi="Calibri"/>
          <w:color w:val="000000"/>
          <w:sz w:val="22"/>
          <w:szCs w:val="22"/>
        </w:rPr>
        <w:t>2</w:t>
      </w:r>
      <w:r w:rsidRPr="004D6DE3">
        <w:rPr>
          <w:rFonts w:ascii="Calibri" w:hAnsi="Calibri"/>
          <w:color w:val="000000"/>
          <w:sz w:val="22"/>
          <w:szCs w:val="22"/>
        </w:rPr>
        <w:t xml:space="preserve"> to commence</w:t>
      </w:r>
      <w:r w:rsidR="001D0245">
        <w:rPr>
          <w:rFonts w:ascii="Calibri" w:hAnsi="Calibri"/>
          <w:color w:val="000000"/>
          <w:sz w:val="22"/>
          <w:szCs w:val="22"/>
        </w:rPr>
        <w:t xml:space="preserve"> </w:t>
      </w:r>
      <w:r w:rsidR="00872E88">
        <w:rPr>
          <w:rFonts w:ascii="Calibri" w:hAnsi="Calibri"/>
          <w:color w:val="000000"/>
          <w:sz w:val="22"/>
          <w:szCs w:val="22"/>
        </w:rPr>
        <w:t>June 8</w:t>
      </w:r>
      <w:r w:rsidRPr="004D6DE3">
        <w:rPr>
          <w:rFonts w:ascii="Calibri" w:hAnsi="Calibri"/>
          <w:color w:val="000000"/>
          <w:sz w:val="22"/>
          <w:szCs w:val="22"/>
        </w:rPr>
        <w:t xml:space="preserve">, 2015 and </w:t>
      </w:r>
      <w:r w:rsidR="00872E88">
        <w:rPr>
          <w:rFonts w:ascii="Calibri" w:hAnsi="Calibri"/>
          <w:color w:val="000000"/>
          <w:sz w:val="22"/>
          <w:szCs w:val="22"/>
        </w:rPr>
        <w:t xml:space="preserve">end with the completion of </w:t>
      </w:r>
      <w:r w:rsidRPr="004D6DE3">
        <w:rPr>
          <w:rFonts w:ascii="Calibri" w:hAnsi="Calibri"/>
          <w:color w:val="000000"/>
          <w:sz w:val="22"/>
          <w:szCs w:val="22"/>
        </w:rPr>
        <w:t xml:space="preserve">last </w:t>
      </w:r>
      <w:r w:rsidR="00872E88">
        <w:rPr>
          <w:rFonts w:ascii="Calibri" w:hAnsi="Calibri"/>
          <w:color w:val="000000"/>
          <w:sz w:val="22"/>
          <w:szCs w:val="22"/>
        </w:rPr>
        <w:t xml:space="preserve">warranty </w:t>
      </w:r>
      <w:r w:rsidR="00B45F6F">
        <w:rPr>
          <w:rFonts w:ascii="Calibri" w:hAnsi="Calibri"/>
          <w:color w:val="000000"/>
          <w:sz w:val="22"/>
          <w:szCs w:val="22"/>
        </w:rPr>
        <w:t>at the end of November.</w:t>
      </w:r>
    </w:p>
    <w:p w:rsidR="00411ECB" w:rsidRPr="004D6DE3" w:rsidRDefault="00411ECB" w:rsidP="00411ECB">
      <w:pPr>
        <w:shd w:val="clear" w:color="auto" w:fill="FFFFFF"/>
        <w:rPr>
          <w:rFonts w:ascii="Calibri" w:hAnsi="Calibri"/>
          <w:color w:val="000000"/>
          <w:sz w:val="22"/>
          <w:szCs w:val="22"/>
        </w:rPr>
      </w:pPr>
    </w:p>
    <w:p w:rsidR="00651A74" w:rsidRPr="004D6DE3" w:rsidRDefault="00651A74"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Deliverables</w:t>
      </w:r>
    </w:p>
    <w:p w:rsidR="00651A74" w:rsidRPr="004D6DE3" w:rsidRDefault="00651A74" w:rsidP="0003281E">
      <w:pPr>
        <w:shd w:val="clear" w:color="auto" w:fill="FFFFFF"/>
        <w:rPr>
          <w:rFonts w:ascii="Calibri" w:hAnsi="Calibri" w:cs="Times New Roman"/>
          <w:color w:val="000000"/>
          <w:sz w:val="22"/>
          <w:szCs w:val="22"/>
        </w:rPr>
      </w:pPr>
    </w:p>
    <w:p w:rsidR="003A0FD3" w:rsidRPr="004D6DE3" w:rsidRDefault="00B45F6F" w:rsidP="0003281E">
      <w:pPr>
        <w:shd w:val="clear" w:color="auto" w:fill="FFFFFF"/>
        <w:rPr>
          <w:rFonts w:ascii="Calibri" w:hAnsi="Calibri" w:cs="Times New Roman"/>
          <w:color w:val="000000"/>
          <w:sz w:val="22"/>
          <w:szCs w:val="22"/>
          <w:u w:val="single"/>
        </w:rPr>
      </w:pPr>
      <w:r>
        <w:rPr>
          <w:rFonts w:ascii="Calibri" w:hAnsi="Calibri" w:cs="Times New Roman"/>
          <w:color w:val="000000"/>
          <w:sz w:val="22"/>
          <w:szCs w:val="22"/>
          <w:u w:val="single"/>
        </w:rPr>
        <w:t>Phase 2</w:t>
      </w:r>
    </w:p>
    <w:p w:rsidR="003A0FD3" w:rsidRPr="004D6DE3" w:rsidRDefault="003A0FD3" w:rsidP="0003281E">
      <w:pPr>
        <w:shd w:val="clear" w:color="auto" w:fill="FFFFFF"/>
        <w:rPr>
          <w:rFonts w:ascii="Calibri" w:hAnsi="Calibri" w:cs="Times New Roman"/>
          <w:color w:val="000000"/>
          <w:sz w:val="22"/>
          <w:szCs w:val="22"/>
        </w:rPr>
      </w:pPr>
    </w:p>
    <w:tbl>
      <w:tblPr>
        <w:tblW w:w="71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tblGrid>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1 –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2 – Corporate Transfers &amp; Assignment Changes Process, Iterative updates for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lastRenderedPageBreak/>
              <w:t>User Acceptance in QA</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3 Operational Leaves of Absences Process, Iterative updates for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4 On boarding Process, Iterative updates for Operational Leaves of Absences Process,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ind w:left="720"/>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5 - Iterative updates for On boarding Process, Operational Leaves of Absences Process,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lastRenderedPageBreak/>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bl>
    <w:p w:rsidR="00F01AB3" w:rsidRPr="004D6DE3" w:rsidRDefault="00F01AB3" w:rsidP="00F01AB3">
      <w:pPr>
        <w:shd w:val="clear" w:color="auto" w:fill="FFFFFF"/>
        <w:rPr>
          <w:rFonts w:ascii="Calibri" w:hAnsi="Calibri"/>
          <w:color w:val="000000"/>
          <w:sz w:val="22"/>
          <w:szCs w:val="22"/>
        </w:rPr>
      </w:pPr>
    </w:p>
    <w:p w:rsidR="00E57F1F" w:rsidRPr="004D6DE3" w:rsidRDefault="00E57F1F">
      <w:pPr>
        <w:widowControl/>
        <w:autoSpaceDE/>
        <w:autoSpaceDN/>
        <w:adjustRightInd/>
        <w:rPr>
          <w:rFonts w:ascii="Calibri" w:hAnsi="Calibri"/>
          <w:color w:val="000000"/>
          <w:sz w:val="22"/>
          <w:szCs w:val="22"/>
        </w:rPr>
      </w:pPr>
    </w:p>
    <w:p w:rsidR="00F01AB3" w:rsidRPr="004D6DE3" w:rsidRDefault="00F01AB3" w:rsidP="00B45F6F">
      <w:pPr>
        <w:widowControl/>
        <w:autoSpaceDE/>
        <w:autoSpaceDN/>
        <w:adjustRightInd/>
        <w:rPr>
          <w:rFonts w:ascii="Calibri" w:hAnsi="Calibri"/>
          <w:b/>
          <w:color w:val="000000"/>
          <w:sz w:val="22"/>
          <w:szCs w:val="22"/>
          <w:u w:val="single"/>
        </w:rPr>
      </w:pPr>
      <w:r w:rsidRPr="004D6DE3">
        <w:rPr>
          <w:rFonts w:ascii="Calibri" w:hAnsi="Calibri"/>
          <w:b/>
          <w:color w:val="000000"/>
          <w:sz w:val="22"/>
          <w:szCs w:val="22"/>
          <w:u w:val="single"/>
        </w:rPr>
        <w:t>Resourcing</w:t>
      </w:r>
    </w:p>
    <w:p w:rsidR="00651A74" w:rsidRPr="004D6DE3" w:rsidRDefault="00651A74" w:rsidP="0003281E">
      <w:pPr>
        <w:shd w:val="clear" w:color="auto" w:fill="FFFFFF"/>
        <w:rPr>
          <w:rFonts w:ascii="Calibri" w:hAnsi="Calibri" w:cs="Times New Roman"/>
          <w:color w:val="000000"/>
          <w:sz w:val="22"/>
          <w:szCs w:val="22"/>
        </w:rPr>
      </w:pPr>
    </w:p>
    <w:p w:rsidR="00A1772D" w:rsidRPr="004D6DE3" w:rsidRDefault="00534361" w:rsidP="0003281E">
      <w:pPr>
        <w:shd w:val="clear" w:color="auto" w:fill="FFFFFF"/>
        <w:rPr>
          <w:rFonts w:ascii="Calibri" w:hAnsi="Calibri" w:cs="Times New Roman"/>
          <w:color w:val="000000"/>
          <w:sz w:val="22"/>
          <w:szCs w:val="22"/>
          <w:u w:val="single"/>
        </w:rPr>
      </w:pPr>
      <w:r w:rsidRPr="004D6DE3">
        <w:rPr>
          <w:rFonts w:ascii="Calibri" w:hAnsi="Calibri" w:cs="Times New Roman"/>
          <w:color w:val="000000"/>
          <w:sz w:val="22"/>
          <w:szCs w:val="22"/>
          <w:u w:val="single"/>
        </w:rPr>
        <w:t xml:space="preserve">Phase </w:t>
      </w:r>
      <w:r w:rsidR="00B45F6F">
        <w:rPr>
          <w:rFonts w:ascii="Calibri" w:hAnsi="Calibri" w:cs="Times New Roman"/>
          <w:color w:val="000000"/>
          <w:sz w:val="22"/>
          <w:szCs w:val="22"/>
          <w:u w:val="single"/>
        </w:rPr>
        <w:t>2</w:t>
      </w:r>
    </w:p>
    <w:p w:rsidR="00534361" w:rsidRPr="004D6DE3" w:rsidRDefault="00534361" w:rsidP="0003281E">
      <w:pPr>
        <w:shd w:val="clear" w:color="auto" w:fill="FFFFFF"/>
        <w:rPr>
          <w:rFonts w:ascii="Calibri" w:hAnsi="Calibri" w:cs="Times New Roman"/>
          <w:color w:val="000000"/>
          <w:sz w:val="22"/>
          <w:szCs w:val="22"/>
        </w:rPr>
      </w:pPr>
    </w:p>
    <w:p w:rsidR="004562AC" w:rsidRPr="00B45F6F" w:rsidRDefault="00B45F6F" w:rsidP="0003281E">
      <w:pPr>
        <w:shd w:val="clear" w:color="auto" w:fill="FFFFFF"/>
        <w:rPr>
          <w:rFonts w:asciiTheme="minorHAnsi" w:hAnsiTheme="minorHAnsi" w:cs="Times New Roman"/>
          <w:color w:val="000000"/>
          <w:sz w:val="22"/>
          <w:szCs w:val="22"/>
        </w:rPr>
      </w:pPr>
      <w:r w:rsidRPr="00B45F6F">
        <w:rPr>
          <w:rFonts w:asciiTheme="minorHAnsi" w:hAnsiTheme="minorHAnsi"/>
          <w:sz w:val="22"/>
          <w:szCs w:val="22"/>
        </w:rPr>
        <w:t>One Master Data Functional/Technical Business Analyst possessing the combination of business systems knowledge, SAP functional knowledge and SAP master data technical knowledge for master data cleansing and master data conversion.</w:t>
      </w:r>
      <w:r w:rsidRPr="00B45F6F">
        <w:rPr>
          <w:rFonts w:asciiTheme="minorHAnsi" w:hAnsiTheme="minorHAnsi"/>
          <w:sz w:val="22"/>
          <w:szCs w:val="22"/>
        </w:rPr>
        <w:br/>
      </w:r>
    </w:p>
    <w:p w:rsidR="00B45F6F" w:rsidRPr="00B45F6F" w:rsidRDefault="00B45F6F" w:rsidP="0003281E">
      <w:pPr>
        <w:shd w:val="clear" w:color="auto" w:fill="FFFFFF"/>
        <w:rPr>
          <w:rFonts w:asciiTheme="minorHAnsi" w:hAnsiTheme="minorHAnsi" w:cs="Times New Roman"/>
          <w:color w:val="000000"/>
          <w:sz w:val="22"/>
          <w:szCs w:val="22"/>
        </w:rPr>
      </w:pPr>
      <w:r w:rsidRPr="00B45F6F">
        <w:rPr>
          <w:rFonts w:asciiTheme="minorHAnsi" w:hAnsiTheme="minorHAnsi" w:cs="Times New Roman"/>
          <w:color w:val="000000"/>
          <w:sz w:val="22"/>
          <w:szCs w:val="22"/>
        </w:rPr>
        <w:t xml:space="preserve">Two </w:t>
      </w:r>
      <w:r w:rsidRPr="00B45F6F">
        <w:rPr>
          <w:rFonts w:asciiTheme="minorHAnsi" w:hAnsiTheme="minorHAnsi"/>
          <w:sz w:val="22"/>
          <w:szCs w:val="22"/>
        </w:rPr>
        <w:t>Master Data Management SMEs possessing the data governance knowledge for master data governance modelling, master data governance processes and master data management processes.</w:t>
      </w:r>
    </w:p>
    <w:p w:rsidR="00415592" w:rsidRPr="00B45F6F" w:rsidRDefault="00415592" w:rsidP="0068405A">
      <w:pPr>
        <w:rPr>
          <w:rFonts w:asciiTheme="minorHAnsi" w:hAnsiTheme="minorHAnsi"/>
          <w:color w:val="000000"/>
          <w:sz w:val="22"/>
          <w:szCs w:val="22"/>
        </w:rPr>
      </w:pPr>
    </w:p>
    <w:p w:rsidR="00ED5E0D" w:rsidRPr="00B45F6F" w:rsidRDefault="004562AC">
      <w:pPr>
        <w:widowControl/>
        <w:autoSpaceDE/>
        <w:autoSpaceDN/>
        <w:adjustRightInd/>
        <w:rPr>
          <w:rFonts w:asciiTheme="minorHAnsi" w:hAnsiTheme="minorHAnsi" w:cs="Times New Roman"/>
          <w:b/>
          <w:color w:val="000000"/>
          <w:sz w:val="24"/>
          <w:szCs w:val="24"/>
          <w:u w:val="single"/>
        </w:rPr>
      </w:pPr>
      <w:r w:rsidRPr="00B45F6F">
        <w:rPr>
          <w:rFonts w:asciiTheme="minorHAnsi" w:hAnsiTheme="minorHAnsi" w:cs="Times New Roman"/>
          <w:b/>
          <w:color w:val="000000"/>
          <w:sz w:val="24"/>
          <w:szCs w:val="24"/>
          <w:u w:val="single"/>
        </w:rPr>
        <w:t>Rates</w:t>
      </w:r>
    </w:p>
    <w:p w:rsidR="007D2FAC" w:rsidRPr="004D6DE3" w:rsidRDefault="007D2FAC">
      <w:pPr>
        <w:widowControl/>
        <w:autoSpaceDE/>
        <w:autoSpaceDN/>
        <w:adjustRightInd/>
        <w:rPr>
          <w:rFonts w:ascii="Calibri" w:hAnsi="Calibri" w:cs="Times New Roman"/>
          <w:color w:val="000000"/>
          <w:sz w:val="24"/>
          <w:szCs w:val="24"/>
        </w:rPr>
      </w:pPr>
    </w:p>
    <w:p w:rsidR="007D2FAC" w:rsidRPr="00B45F6F" w:rsidRDefault="007D2FAC">
      <w:pPr>
        <w:widowControl/>
        <w:autoSpaceDE/>
        <w:autoSpaceDN/>
        <w:adjustRightInd/>
        <w:rPr>
          <w:rFonts w:ascii="Calibri" w:hAnsi="Calibri" w:cs="Times New Roman"/>
          <w:color w:val="000000"/>
          <w:sz w:val="22"/>
          <w:szCs w:val="22"/>
        </w:rPr>
      </w:pPr>
      <w:r w:rsidRPr="004D6DE3">
        <w:rPr>
          <w:rFonts w:ascii="BankGothic Md BT" w:hAnsi="BankGothic Md BT"/>
          <w:color w:val="E7553D"/>
          <w:spacing w:val="-8"/>
          <w:sz w:val="22"/>
          <w:szCs w:val="22"/>
        </w:rPr>
        <w:t>C CUBED Data Integrators</w:t>
      </w:r>
      <w:r w:rsidRPr="004D6DE3">
        <w:rPr>
          <w:rFonts w:ascii="Calibri" w:hAnsi="Calibri"/>
          <w:color w:val="000000"/>
          <w:spacing w:val="-8"/>
          <w:sz w:val="22"/>
          <w:szCs w:val="22"/>
        </w:rPr>
        <w:t xml:space="preserve"> </w:t>
      </w:r>
      <w:r w:rsidRPr="00B45F6F">
        <w:rPr>
          <w:rFonts w:ascii="Calibri" w:hAnsi="Calibri" w:cs="Times New Roman"/>
          <w:color w:val="000000"/>
          <w:sz w:val="22"/>
          <w:szCs w:val="22"/>
        </w:rPr>
        <w:t>would prefer to engage directly with Precision Drilling Corporation and these rates reflect that type of arrangement. Should</w:t>
      </w:r>
      <w:r w:rsidRPr="004D6DE3">
        <w:rPr>
          <w:rFonts w:ascii="Calibri" w:hAnsi="Calibri" w:cs="Times New Roman"/>
          <w:color w:val="000000"/>
          <w:sz w:val="24"/>
          <w:szCs w:val="24"/>
        </w:rPr>
        <w:t xml:space="preserve"> </w:t>
      </w:r>
      <w:r w:rsidRPr="004D6DE3">
        <w:rPr>
          <w:rFonts w:ascii="BankGothic Md BT" w:hAnsi="BankGothic Md BT"/>
          <w:color w:val="E7553D"/>
          <w:spacing w:val="-8"/>
          <w:sz w:val="22"/>
          <w:szCs w:val="22"/>
        </w:rPr>
        <w:t xml:space="preserve">C CUBED </w:t>
      </w:r>
      <w:r w:rsidRPr="00B45F6F">
        <w:rPr>
          <w:rFonts w:ascii="Calibri" w:hAnsi="Calibri" w:cs="Times New Roman"/>
          <w:color w:val="000000"/>
          <w:sz w:val="22"/>
          <w:szCs w:val="22"/>
        </w:rPr>
        <w:t>resources be required to engage through a third-party (e.g. SI Systems) then third-party overheads would be in addition to rates indicated below.</w:t>
      </w:r>
    </w:p>
    <w:p w:rsidR="00ED5E0D" w:rsidRDefault="00ED5E0D">
      <w:pPr>
        <w:widowControl/>
        <w:autoSpaceDE/>
        <w:autoSpaceDN/>
        <w:adjustRightInd/>
        <w:rPr>
          <w:rFonts w:ascii="Calibri" w:hAnsi="Calibri" w:cs="Times New Roman"/>
          <w:color w:val="000000"/>
          <w:sz w:val="24"/>
          <w:szCs w:val="24"/>
        </w:rPr>
      </w:pPr>
    </w:p>
    <w:p w:rsidR="00506537" w:rsidRPr="004D6DE3" w:rsidRDefault="00506537">
      <w:pPr>
        <w:widowControl/>
        <w:autoSpaceDE/>
        <w:autoSpaceDN/>
        <w:adjustRightInd/>
        <w:rPr>
          <w:rFonts w:ascii="Calibri" w:hAnsi="Calibri" w:cs="Times New Roman"/>
          <w:color w:val="000000"/>
          <w:sz w:val="24"/>
          <w:szCs w:val="24"/>
        </w:rPr>
      </w:pPr>
    </w:p>
    <w:tbl>
      <w:tblPr>
        <w:tblW w:w="7935" w:type="dxa"/>
        <w:tblInd w:w="93" w:type="dxa"/>
        <w:tblLook w:val="04A0" w:firstRow="1" w:lastRow="0" w:firstColumn="1" w:lastColumn="0" w:noHBand="0" w:noVBand="1"/>
      </w:tblPr>
      <w:tblGrid>
        <w:gridCol w:w="1905"/>
        <w:gridCol w:w="2160"/>
        <w:gridCol w:w="1350"/>
        <w:gridCol w:w="1170"/>
        <w:gridCol w:w="1350"/>
      </w:tblGrid>
      <w:tr w:rsidR="00415592" w:rsidRPr="004D6DE3" w:rsidTr="00B45F6F">
        <w:trPr>
          <w:trHeight w:val="600"/>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Resource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Job</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Billing</w:t>
            </w:r>
            <w:r w:rsidRPr="004D6DE3">
              <w:rPr>
                <w:rFonts w:ascii="Calibri" w:hAnsi="Calibri" w:cs="Times New Roman"/>
                <w:b/>
                <w:bCs/>
                <w:color w:val="000000"/>
                <w:sz w:val="22"/>
                <w:szCs w:val="22"/>
                <w:u w:val="single"/>
              </w:rPr>
              <w:br/>
              <w:t>Rate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GST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Travel/</w:t>
            </w:r>
            <w:proofErr w:type="spellStart"/>
            <w:r w:rsidRPr="004D6DE3">
              <w:rPr>
                <w:rFonts w:ascii="Calibri" w:hAnsi="Calibri" w:cs="Times New Roman"/>
                <w:b/>
                <w:bCs/>
                <w:color w:val="000000"/>
                <w:sz w:val="22"/>
                <w:szCs w:val="22"/>
                <w:u w:val="single"/>
              </w:rPr>
              <w:t>Exp</w:t>
            </w:r>
            <w:proofErr w:type="spellEnd"/>
            <w:r w:rsidRPr="004D6DE3">
              <w:rPr>
                <w:rFonts w:ascii="Calibri" w:hAnsi="Calibri" w:cs="Times New Roman"/>
                <w:b/>
                <w:bCs/>
                <w:color w:val="000000"/>
                <w:sz w:val="22"/>
                <w:szCs w:val="22"/>
                <w:u w:val="single"/>
              </w:rPr>
              <w:t>*</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361E06" w:rsidRPr="004D6DE3" w:rsidRDefault="00B45F6F" w:rsidP="00361E06">
            <w:pPr>
              <w:widowControl/>
              <w:autoSpaceDE/>
              <w:autoSpaceDN/>
              <w:adjustRightInd/>
              <w:rPr>
                <w:rFonts w:ascii="Calibri" w:hAnsi="Calibri" w:cs="Times New Roman"/>
                <w:color w:val="000000"/>
                <w:sz w:val="22"/>
                <w:szCs w:val="22"/>
              </w:rPr>
            </w:pPr>
            <w:proofErr w:type="spellStart"/>
            <w:r>
              <w:rPr>
                <w:rFonts w:ascii="Calibri" w:hAnsi="Calibri" w:cs="Times New Roman"/>
                <w:color w:val="000000"/>
                <w:sz w:val="22"/>
                <w:szCs w:val="22"/>
              </w:rPr>
              <w:t>Debabrata</w:t>
            </w:r>
            <w:proofErr w:type="spellEnd"/>
            <w:r>
              <w:rPr>
                <w:rFonts w:ascii="Calibri" w:hAnsi="Calibri" w:cs="Times New Roman"/>
                <w:color w:val="000000"/>
                <w:sz w:val="22"/>
                <w:szCs w:val="22"/>
              </w:rPr>
              <w:t xml:space="preserve"> Rout</w:t>
            </w:r>
          </w:p>
        </w:tc>
        <w:tc>
          <w:tcPr>
            <w:tcW w:w="2160" w:type="dxa"/>
            <w:tcBorders>
              <w:top w:val="nil"/>
              <w:left w:val="nil"/>
              <w:bottom w:val="single" w:sz="4" w:space="0" w:color="auto"/>
              <w:right w:val="single" w:sz="4" w:space="0" w:color="auto"/>
            </w:tcBorders>
            <w:shd w:val="clear" w:color="auto" w:fill="auto"/>
            <w:noWrap/>
            <w:vAlign w:val="bottom"/>
          </w:tcPr>
          <w:p w:rsidR="00361E06" w:rsidRPr="004D6DE3" w:rsidRDefault="00B45F6F" w:rsidP="00B45F6F">
            <w:pPr>
              <w:widowControl/>
              <w:autoSpaceDE/>
              <w:autoSpaceDN/>
              <w:adjustRightInd/>
              <w:rPr>
                <w:rFonts w:ascii="Calibri" w:hAnsi="Calibri" w:cs="Times New Roman"/>
                <w:color w:val="000000"/>
                <w:sz w:val="22"/>
                <w:szCs w:val="22"/>
              </w:rPr>
            </w:pPr>
            <w:r w:rsidRPr="00B45F6F">
              <w:rPr>
                <w:rFonts w:ascii="Calibri" w:hAnsi="Calibri" w:cs="Times New Roman"/>
                <w:color w:val="000000"/>
                <w:sz w:val="22"/>
                <w:szCs w:val="22"/>
              </w:rPr>
              <w:t>MD</w:t>
            </w:r>
            <w:r>
              <w:rPr>
                <w:rFonts w:ascii="Calibri" w:hAnsi="Calibri" w:cs="Times New Roman"/>
                <w:color w:val="000000"/>
                <w:sz w:val="22"/>
                <w:szCs w:val="22"/>
              </w:rPr>
              <w:t xml:space="preserve"> </w:t>
            </w:r>
            <w:proofErr w:type="spellStart"/>
            <w:r w:rsidRPr="00B45F6F">
              <w:rPr>
                <w:rFonts w:ascii="Calibri" w:hAnsi="Calibri" w:cs="Times New Roman"/>
                <w:color w:val="000000"/>
                <w:sz w:val="22"/>
                <w:szCs w:val="22"/>
              </w:rPr>
              <w:t>Func</w:t>
            </w:r>
            <w:proofErr w:type="spellEnd"/>
            <w:r w:rsidRPr="00B45F6F">
              <w:rPr>
                <w:rFonts w:ascii="Calibri" w:hAnsi="Calibri" w:cs="Times New Roman"/>
                <w:color w:val="000000"/>
                <w:sz w:val="22"/>
                <w:szCs w:val="22"/>
              </w:rPr>
              <w:t>/Tech</w:t>
            </w:r>
            <w:r>
              <w:rPr>
                <w:rFonts w:ascii="Calibri" w:hAnsi="Calibri" w:cs="Times New Roman"/>
                <w:color w:val="000000"/>
                <w:sz w:val="22"/>
                <w:szCs w:val="22"/>
              </w:rPr>
              <w:t xml:space="preserve"> </w:t>
            </w:r>
            <w:r w:rsidRPr="00B45F6F">
              <w:rPr>
                <w:rFonts w:ascii="Calibri" w:hAnsi="Calibri" w:cs="Times New Roman"/>
                <w:color w:val="000000"/>
                <w:sz w:val="22"/>
                <w:szCs w:val="22"/>
              </w:rPr>
              <w:t>BA</w:t>
            </w:r>
          </w:p>
        </w:tc>
        <w:tc>
          <w:tcPr>
            <w:tcW w:w="1350" w:type="dxa"/>
            <w:tcBorders>
              <w:top w:val="nil"/>
              <w:left w:val="nil"/>
              <w:bottom w:val="single" w:sz="4" w:space="0" w:color="auto"/>
              <w:right w:val="single" w:sz="4" w:space="0" w:color="auto"/>
            </w:tcBorders>
            <w:shd w:val="clear" w:color="auto" w:fill="auto"/>
            <w:noWrap/>
            <w:vAlign w:val="bottom"/>
          </w:tcPr>
          <w:p w:rsidR="00361E06"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$100</w:t>
            </w:r>
          </w:p>
        </w:tc>
        <w:tc>
          <w:tcPr>
            <w:tcW w:w="1170" w:type="dxa"/>
            <w:tcBorders>
              <w:top w:val="nil"/>
              <w:left w:val="nil"/>
              <w:bottom w:val="single" w:sz="4" w:space="0" w:color="auto"/>
              <w:right w:val="single" w:sz="4" w:space="0" w:color="auto"/>
            </w:tcBorders>
            <w:shd w:val="clear" w:color="auto" w:fill="auto"/>
            <w:noWrap/>
            <w:vAlign w:val="bottom"/>
          </w:tcPr>
          <w:p w:rsidR="00361E06" w:rsidRPr="004D6DE3" w:rsidRDefault="00D1065B" w:rsidP="00D1065B">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tcPr>
          <w:p w:rsidR="00361E06"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N/A</w:t>
            </w:r>
          </w:p>
        </w:tc>
      </w:tr>
      <w:tr w:rsidR="00B45F6F"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5F6F" w:rsidRPr="004D6DE3" w:rsidRDefault="00B45F6F" w:rsidP="00361E06">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t>Jennifer Lengsfeld</w:t>
            </w:r>
          </w:p>
        </w:tc>
        <w:tc>
          <w:tcPr>
            <w:tcW w:w="2160" w:type="dxa"/>
            <w:tcBorders>
              <w:top w:val="nil"/>
              <w:left w:val="nil"/>
              <w:bottom w:val="single" w:sz="4" w:space="0" w:color="auto"/>
              <w:right w:val="single" w:sz="4" w:space="0" w:color="auto"/>
            </w:tcBorders>
            <w:shd w:val="clear" w:color="auto" w:fill="auto"/>
            <w:noWrap/>
            <w:vAlign w:val="bottom"/>
          </w:tcPr>
          <w:p w:rsidR="00B45F6F" w:rsidRPr="004D6DE3" w:rsidRDefault="00B45F6F"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MD SME</w:t>
            </w:r>
          </w:p>
        </w:tc>
        <w:tc>
          <w:tcPr>
            <w:tcW w:w="135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$95</w:t>
            </w:r>
          </w:p>
        </w:tc>
        <w:tc>
          <w:tcPr>
            <w:tcW w:w="117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N/A</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Bill Towsley</w:t>
            </w:r>
          </w:p>
        </w:tc>
        <w:tc>
          <w:tcPr>
            <w:tcW w:w="216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MD SME</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$155</w:t>
            </w:r>
          </w:p>
        </w:tc>
        <w:tc>
          <w:tcPr>
            <w:tcW w:w="117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N/A</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Bill Towsley</w:t>
            </w:r>
          </w:p>
        </w:tc>
        <w:tc>
          <w:tcPr>
            <w:tcW w:w="216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Delivery Manager</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included</w:t>
            </w:r>
          </w:p>
        </w:tc>
        <w:tc>
          <w:tcPr>
            <w:tcW w:w="117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 </w:t>
            </w:r>
          </w:p>
        </w:tc>
      </w:tr>
      <w:tr w:rsidR="00D1065B"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t>Carla Cook</w:t>
            </w:r>
          </w:p>
        </w:tc>
        <w:tc>
          <w:tcPr>
            <w:tcW w:w="2160" w:type="dxa"/>
            <w:tcBorders>
              <w:top w:val="nil"/>
              <w:left w:val="nil"/>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Delivery Manager</w:t>
            </w:r>
          </w:p>
        </w:tc>
        <w:tc>
          <w:tcPr>
            <w:tcW w:w="1350" w:type="dxa"/>
            <w:tcBorders>
              <w:top w:val="nil"/>
              <w:left w:val="nil"/>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included</w:t>
            </w:r>
          </w:p>
        </w:tc>
        <w:tc>
          <w:tcPr>
            <w:tcW w:w="1170" w:type="dxa"/>
            <w:tcBorders>
              <w:top w:val="nil"/>
              <w:left w:val="nil"/>
              <w:bottom w:val="single" w:sz="4" w:space="0" w:color="auto"/>
              <w:right w:val="single" w:sz="4" w:space="0" w:color="auto"/>
            </w:tcBorders>
            <w:shd w:val="clear" w:color="auto" w:fill="auto"/>
            <w:noWrap/>
            <w:vAlign w:val="bottom"/>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D1065B" w:rsidRPr="004D6DE3" w:rsidRDefault="00D1065B" w:rsidP="00361E06">
            <w:pPr>
              <w:widowControl/>
              <w:autoSpaceDE/>
              <w:autoSpaceDN/>
              <w:adjustRightInd/>
              <w:jc w:val="right"/>
              <w:rPr>
                <w:rFonts w:ascii="Calibri" w:hAnsi="Calibri" w:cs="Times New Roman"/>
                <w:color w:val="000000"/>
                <w:sz w:val="22"/>
                <w:szCs w:val="22"/>
              </w:rPr>
            </w:pPr>
          </w:p>
        </w:tc>
      </w:tr>
      <w:tr w:rsidR="00D1065B" w:rsidRPr="004D6DE3" w:rsidTr="00B45F6F">
        <w:trPr>
          <w:trHeight w:val="300"/>
        </w:trPr>
        <w:tc>
          <w:tcPr>
            <w:tcW w:w="1905"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216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17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r>
    </w:tbl>
    <w:p w:rsidR="00361E06" w:rsidRPr="004D6DE3" w:rsidRDefault="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xml:space="preserve">* </w:t>
      </w:r>
      <w:r w:rsidR="00415592" w:rsidRPr="004D6DE3">
        <w:rPr>
          <w:rFonts w:ascii="Calibri" w:hAnsi="Calibri" w:cs="Times New Roman"/>
          <w:color w:val="000000"/>
          <w:sz w:val="22"/>
          <w:szCs w:val="22"/>
        </w:rPr>
        <w:t>Travel</w:t>
      </w:r>
      <w:r w:rsidRPr="004D6DE3">
        <w:rPr>
          <w:rFonts w:ascii="Calibri" w:hAnsi="Calibri" w:cs="Times New Roman"/>
          <w:color w:val="000000"/>
          <w:sz w:val="22"/>
          <w:szCs w:val="22"/>
        </w:rPr>
        <w:t>, if required, to client locations outside Calgary not covered here</w:t>
      </w:r>
    </w:p>
    <w:p w:rsidR="00506537" w:rsidRDefault="00506537">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br w:type="page"/>
      </w:r>
    </w:p>
    <w:p w:rsidR="005C222D" w:rsidRPr="004D6DE3" w:rsidRDefault="005C222D" w:rsidP="005C222D">
      <w:pPr>
        <w:widowControl/>
        <w:autoSpaceDE/>
        <w:autoSpaceDN/>
        <w:adjustRightInd/>
        <w:rPr>
          <w:rFonts w:ascii="Calibri" w:hAnsi="Calibri" w:cs="Times New Roman"/>
          <w:b/>
          <w:color w:val="000000"/>
          <w:sz w:val="24"/>
          <w:szCs w:val="24"/>
          <w:u w:val="single"/>
        </w:rPr>
      </w:pPr>
      <w:r w:rsidRPr="004D6DE3">
        <w:rPr>
          <w:rFonts w:ascii="BankGothic Md BT" w:hAnsi="BankGothic Md BT"/>
          <w:color w:val="E7553D"/>
          <w:spacing w:val="-8"/>
          <w:sz w:val="22"/>
          <w:szCs w:val="22"/>
          <w:u w:val="single"/>
        </w:rPr>
        <w:lastRenderedPageBreak/>
        <w:t xml:space="preserve">C CUBED </w:t>
      </w:r>
      <w:r w:rsidRPr="00D1065B">
        <w:rPr>
          <w:rFonts w:ascii="Calibri" w:hAnsi="Calibri" w:cs="Times New Roman"/>
          <w:b/>
          <w:color w:val="000000"/>
          <w:sz w:val="22"/>
          <w:szCs w:val="22"/>
          <w:u w:val="single"/>
        </w:rPr>
        <w:t>/ Precision Drilling Accountabilities</w:t>
      </w:r>
    </w:p>
    <w:p w:rsidR="00F35A4F" w:rsidRPr="004D6DE3" w:rsidRDefault="00F35A4F" w:rsidP="005C222D">
      <w:pPr>
        <w:widowControl/>
        <w:autoSpaceDE/>
        <w:autoSpaceDN/>
        <w:adjustRightInd/>
        <w:rPr>
          <w:rFonts w:ascii="Calibri" w:hAnsi="Calibri" w:cs="Times New Roman"/>
          <w:color w:val="000000"/>
          <w:sz w:val="24"/>
          <w:szCs w:val="24"/>
        </w:rPr>
      </w:pPr>
    </w:p>
    <w:p w:rsidR="00F35A4F" w:rsidRPr="00D1065B" w:rsidRDefault="00F35A4F" w:rsidP="005C222D">
      <w:pPr>
        <w:widowControl/>
        <w:autoSpaceDE/>
        <w:autoSpaceDN/>
        <w:adjustRightInd/>
        <w:rPr>
          <w:rFonts w:asciiTheme="minorHAnsi" w:hAnsiTheme="minorHAnsi" w:cs="Times New Roman"/>
          <w:color w:val="000000"/>
          <w:sz w:val="22"/>
          <w:szCs w:val="22"/>
          <w:u w:val="single"/>
        </w:rPr>
      </w:pPr>
      <w:r w:rsidRPr="00D1065B">
        <w:rPr>
          <w:rFonts w:asciiTheme="minorHAnsi" w:hAnsiTheme="minorHAnsi" w:cs="Times New Roman"/>
          <w:color w:val="000000"/>
          <w:sz w:val="22"/>
          <w:szCs w:val="22"/>
          <w:u w:val="single"/>
        </w:rPr>
        <w:t xml:space="preserve">Phase </w:t>
      </w:r>
      <w:r w:rsidR="00D1065B" w:rsidRPr="00D1065B">
        <w:rPr>
          <w:rFonts w:asciiTheme="minorHAnsi" w:hAnsiTheme="minorHAnsi" w:cs="Times New Roman"/>
          <w:color w:val="000000"/>
          <w:sz w:val="22"/>
          <w:szCs w:val="22"/>
          <w:u w:val="single"/>
        </w:rPr>
        <w:t>2</w:t>
      </w:r>
    </w:p>
    <w:p w:rsidR="005C222D" w:rsidRPr="00D1065B" w:rsidRDefault="005C222D">
      <w:pPr>
        <w:widowControl/>
        <w:autoSpaceDE/>
        <w:autoSpaceDN/>
        <w:adjustRightInd/>
        <w:rPr>
          <w:rFonts w:asciiTheme="minorHAnsi" w:hAnsiTheme="minorHAnsi" w:cs="Times New Roman"/>
          <w:color w:val="000000"/>
          <w:sz w:val="22"/>
          <w:szCs w:val="22"/>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00"/>
        <w:gridCol w:w="3330"/>
      </w:tblGrid>
      <w:tr w:rsidR="00D1065B" w:rsidRPr="00D1065B" w:rsidTr="00D1065B">
        <w:tc>
          <w:tcPr>
            <w:tcW w:w="2070" w:type="dxa"/>
          </w:tcPr>
          <w:p w:rsidR="00D1065B" w:rsidRPr="00D1065B" w:rsidRDefault="00D1065B" w:rsidP="002A21A8">
            <w:pPr>
              <w:rPr>
                <w:rFonts w:asciiTheme="minorHAnsi" w:hAnsiTheme="minorHAnsi"/>
                <w:sz w:val="22"/>
                <w:szCs w:val="22"/>
              </w:rPr>
            </w:pPr>
            <w:r>
              <w:rPr>
                <w:rFonts w:asciiTheme="minorHAnsi" w:hAnsiTheme="minorHAnsi"/>
                <w:sz w:val="22"/>
                <w:szCs w:val="22"/>
              </w:rPr>
              <w:t>Activity</w:t>
            </w:r>
          </w:p>
        </w:tc>
        <w:tc>
          <w:tcPr>
            <w:tcW w:w="2700" w:type="dxa"/>
          </w:tcPr>
          <w:p w:rsidR="00D1065B" w:rsidRPr="00D1065B" w:rsidRDefault="00D1065B" w:rsidP="00D1065B">
            <w:pPr>
              <w:pStyle w:val="StdBodyList"/>
              <w:numPr>
                <w:ilvl w:val="0"/>
                <w:numId w:val="0"/>
              </w:numPr>
              <w:ind w:left="360" w:hanging="360"/>
              <w:rPr>
                <w:rFonts w:asciiTheme="minorHAnsi" w:hAnsiTheme="minorHAnsi" w:cs="Arial"/>
                <w:u w:val="single"/>
              </w:rPr>
            </w:pPr>
            <w:r w:rsidRPr="00D1065B">
              <w:rPr>
                <w:rFonts w:asciiTheme="minorHAnsi" w:hAnsiTheme="minorHAnsi" w:cs="Arial"/>
                <w:u w:val="single"/>
              </w:rPr>
              <w:t>Precision Drilling</w:t>
            </w:r>
          </w:p>
        </w:tc>
        <w:tc>
          <w:tcPr>
            <w:tcW w:w="3330" w:type="dxa"/>
          </w:tcPr>
          <w:p w:rsidR="00D1065B" w:rsidRPr="00D1065B" w:rsidRDefault="00D1065B" w:rsidP="00D1065B">
            <w:pPr>
              <w:widowControl/>
              <w:autoSpaceDE/>
              <w:autoSpaceDN/>
              <w:adjustRightInd/>
              <w:rPr>
                <w:rFonts w:asciiTheme="minorHAnsi" w:hAnsiTheme="minorHAnsi"/>
                <w:sz w:val="22"/>
                <w:szCs w:val="22"/>
              </w:rPr>
            </w:pPr>
            <w:r w:rsidRPr="00D1065B">
              <w:rPr>
                <w:rFonts w:ascii="BankGothic Md BT" w:hAnsi="BankGothic Md BT"/>
                <w:color w:val="E7553D"/>
                <w:spacing w:val="-8"/>
                <w:sz w:val="22"/>
                <w:szCs w:val="22"/>
              </w:rPr>
              <w:t>C CUBED</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Diagnosis/Discovery</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(Prep)</w:t>
            </w:r>
          </w:p>
        </w:tc>
        <w:tc>
          <w:tcPr>
            <w:tcW w:w="2700" w:type="dxa"/>
          </w:tcPr>
          <w:p w:rsidR="00D1065B" w:rsidRPr="00D1065B" w:rsidRDefault="00D1065B" w:rsidP="00D1065B">
            <w:pPr>
              <w:pStyle w:val="StdBodyList"/>
              <w:numPr>
                <w:ilvl w:val="0"/>
                <w:numId w:val="23"/>
              </w:numPr>
              <w:rPr>
                <w:rFonts w:asciiTheme="minorHAnsi" w:hAnsiTheme="minorHAnsi" w:cs="Arial"/>
              </w:rPr>
            </w:pPr>
            <w:r w:rsidRPr="00D1065B">
              <w:rPr>
                <w:rFonts w:asciiTheme="minorHAnsi" w:hAnsiTheme="minorHAnsi" w:cs="Arial"/>
              </w:rPr>
              <w:t>Pain point resolution working sessions / teams(iterative)</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Identify data objects (high level)</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Design</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(Blueprint)</w:t>
            </w:r>
          </w:p>
        </w:tc>
        <w:tc>
          <w:tcPr>
            <w:tcW w:w="2700" w:type="dxa"/>
          </w:tcPr>
          <w:p w:rsidR="00D1065B" w:rsidRPr="00D1065B" w:rsidRDefault="00D1065B" w:rsidP="00D1065B">
            <w:pPr>
              <w:pStyle w:val="StdBodyList"/>
              <w:numPr>
                <w:ilvl w:val="0"/>
                <w:numId w:val="24"/>
              </w:numPr>
              <w:rPr>
                <w:rFonts w:asciiTheme="minorHAnsi" w:hAnsiTheme="minorHAnsi" w:cs="Arial"/>
              </w:rPr>
            </w:pPr>
            <w:r w:rsidRPr="00D1065B">
              <w:rPr>
                <w:rFonts w:asciiTheme="minorHAnsi" w:hAnsiTheme="minorHAnsi" w:cs="Arial"/>
              </w:rPr>
              <w:t>Business requirements validation</w:t>
            </w:r>
          </w:p>
          <w:p w:rsidR="00D1065B" w:rsidRPr="00D1065B" w:rsidRDefault="00D1065B" w:rsidP="00D1065B">
            <w:pPr>
              <w:pStyle w:val="StdBodyList"/>
              <w:numPr>
                <w:ilvl w:val="0"/>
                <w:numId w:val="24"/>
              </w:numPr>
              <w:rPr>
                <w:rFonts w:asciiTheme="minorHAnsi" w:hAnsiTheme="minorHAnsi" w:cs="Arial"/>
              </w:rPr>
            </w:pPr>
            <w:r w:rsidRPr="00D1065B">
              <w:rPr>
                <w:rFonts w:asciiTheme="minorHAnsi" w:hAnsiTheme="minorHAnsi" w:cs="Arial"/>
              </w:rPr>
              <w:t>High Level TO BE design</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Gap assessment</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Data object scope</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High level data quality assessment</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Data object owners</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TO BE data standards</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TO BE master data processes (DQM and changes to request/gathering</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Governance model and owner accountability</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Build</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(Realization)</w:t>
            </w:r>
          </w:p>
        </w:tc>
        <w:tc>
          <w:tcPr>
            <w:tcW w:w="2700" w:type="dxa"/>
          </w:tcPr>
          <w:p w:rsidR="00D1065B" w:rsidRPr="00D1065B" w:rsidRDefault="00D1065B" w:rsidP="002A21A8">
            <w:pPr>
              <w:ind w:left="342"/>
              <w:rPr>
                <w:rFonts w:asciiTheme="minorHAnsi" w:hAnsiTheme="minorHAnsi"/>
                <w:sz w:val="22"/>
                <w:szCs w:val="22"/>
              </w:rPr>
            </w:pPr>
          </w:p>
          <w:p w:rsidR="00D1065B" w:rsidRPr="00D1065B" w:rsidRDefault="00D1065B" w:rsidP="002A21A8">
            <w:pPr>
              <w:ind w:left="342"/>
              <w:rPr>
                <w:rFonts w:asciiTheme="minorHAnsi" w:hAnsiTheme="minorHAnsi"/>
                <w:sz w:val="22"/>
                <w:szCs w:val="22"/>
              </w:rPr>
            </w:pP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Process documentation (PDD)</w:t>
            </w:r>
          </w:p>
          <w:p w:rsidR="00D1065B" w:rsidRPr="00D1065B" w:rsidRDefault="00D1065B" w:rsidP="00D1065B">
            <w:pPr>
              <w:widowControl/>
              <w:numPr>
                <w:ilvl w:val="0"/>
                <w:numId w:val="24"/>
              </w:numPr>
              <w:autoSpaceDE/>
              <w:autoSpaceDN/>
              <w:adjustRightInd/>
              <w:ind w:left="342" w:hanging="342"/>
              <w:rPr>
                <w:rFonts w:asciiTheme="minorHAnsi" w:hAnsiTheme="minorHAnsi"/>
                <w:sz w:val="22"/>
                <w:szCs w:val="22"/>
              </w:rPr>
            </w:pPr>
            <w:r w:rsidRPr="00D1065B">
              <w:rPr>
                <w:rFonts w:asciiTheme="minorHAnsi" w:hAnsiTheme="minorHAnsi"/>
                <w:sz w:val="22"/>
                <w:szCs w:val="22"/>
              </w:rPr>
              <w:t>Configuration (CCD)</w:t>
            </w:r>
          </w:p>
          <w:p w:rsidR="00D1065B" w:rsidRPr="00D1065B" w:rsidRDefault="00D1065B" w:rsidP="00D1065B">
            <w:pPr>
              <w:widowControl/>
              <w:numPr>
                <w:ilvl w:val="0"/>
                <w:numId w:val="24"/>
              </w:numPr>
              <w:autoSpaceDE/>
              <w:autoSpaceDN/>
              <w:adjustRightInd/>
              <w:ind w:left="342" w:hanging="342"/>
              <w:rPr>
                <w:rFonts w:asciiTheme="minorHAnsi" w:hAnsiTheme="minorHAnsi"/>
                <w:sz w:val="22"/>
                <w:szCs w:val="22"/>
              </w:rPr>
            </w:pPr>
            <w:r w:rsidRPr="00D1065B">
              <w:rPr>
                <w:rFonts w:asciiTheme="minorHAnsi" w:hAnsiTheme="minorHAnsi"/>
                <w:sz w:val="22"/>
                <w:szCs w:val="22"/>
              </w:rPr>
              <w:t xml:space="preserve">Development (except </w:t>
            </w:r>
            <w:proofErr w:type="spellStart"/>
            <w:r w:rsidRPr="00D1065B">
              <w:rPr>
                <w:rFonts w:asciiTheme="minorHAnsi" w:hAnsiTheme="minorHAnsi"/>
                <w:sz w:val="22"/>
                <w:szCs w:val="22"/>
              </w:rPr>
              <w:t>config</w:t>
            </w:r>
            <w:proofErr w:type="spellEnd"/>
            <w:r w:rsidRPr="00D1065B">
              <w:rPr>
                <w:rFonts w:asciiTheme="minorHAnsi" w:hAnsiTheme="minorHAnsi"/>
                <w:sz w:val="22"/>
                <w:szCs w:val="22"/>
              </w:rPr>
              <w:t>)</w:t>
            </w: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Business Process Procedures (BPP)</w:t>
            </w: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Develop training material</w:t>
            </w: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Create and execute test scripts</w:t>
            </w:r>
          </w:p>
        </w:tc>
        <w:tc>
          <w:tcPr>
            <w:tcW w:w="3330" w:type="dxa"/>
          </w:tcPr>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Formalize master data standards and master data process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business process documentation and creation of new process documentation specific to new master data management  processes that are external to a business process(PDD)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configuration documentation and input to master data specific design &amp; build(CCD)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Data Quality Management reporting</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Detailed cleansing specifications (DCDD)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Create data content (missing/other sources)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business process procedure (BPP) documentation and creation of new process procedure documentation specific to new master data management  processes QA training material</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lastRenderedPageBreak/>
              <w:t>QA cleansed data</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cleansed data in the quality assurance / test systems</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lastRenderedPageBreak/>
              <w:t>Deploy</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(Final prep/Go Live)</w:t>
            </w:r>
          </w:p>
        </w:tc>
        <w:tc>
          <w:tcPr>
            <w:tcW w:w="2700" w:type="dxa"/>
          </w:tcPr>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Finalize and execute cutover plan</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Deliver training</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Implement procedures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Warranty support</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Perform data cleansing in prod</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 xml:space="preserve">Operationalizing of  data new governance and quality management processes </w:t>
            </w:r>
          </w:p>
        </w:tc>
      </w:tr>
    </w:tbl>
    <w:p w:rsidR="005C222D" w:rsidRPr="004D6DE3" w:rsidRDefault="005C222D" w:rsidP="00506537">
      <w:pPr>
        <w:rPr>
          <w:rFonts w:ascii="Calibri" w:hAnsi="Calibri" w:cs="Times New Roman"/>
          <w:color w:val="000000"/>
          <w:sz w:val="24"/>
          <w:szCs w:val="24"/>
        </w:rPr>
      </w:pPr>
    </w:p>
    <w:p w:rsidR="00CF4A80" w:rsidRPr="004D6DE3" w:rsidRDefault="00CF4A80">
      <w:pPr>
        <w:widowControl/>
        <w:autoSpaceDE/>
        <w:autoSpaceDN/>
        <w:adjustRightInd/>
        <w:rPr>
          <w:rFonts w:ascii="Calibri" w:hAnsi="Calibri" w:cs="Times New Roman"/>
          <w:color w:val="000000"/>
          <w:sz w:val="22"/>
          <w:szCs w:val="22"/>
        </w:rPr>
      </w:pPr>
      <w:r w:rsidRPr="004D6DE3">
        <w:rPr>
          <w:rFonts w:ascii="Calibri" w:hAnsi="Calibri" w:cs="Times New Roman"/>
          <w:b/>
          <w:color w:val="000000"/>
          <w:sz w:val="22"/>
          <w:szCs w:val="22"/>
          <w:u w:val="single"/>
        </w:rPr>
        <w:t>Termination</w:t>
      </w:r>
    </w:p>
    <w:p w:rsidR="00CF4A80" w:rsidRPr="004D6DE3" w:rsidRDefault="00CF4A80">
      <w:pPr>
        <w:widowControl/>
        <w:autoSpaceDE/>
        <w:autoSpaceDN/>
        <w:adjustRightInd/>
        <w:rPr>
          <w:rFonts w:ascii="Calibri" w:hAnsi="Calibri" w:cs="Times New Roman"/>
          <w:color w:val="000000"/>
          <w:sz w:val="22"/>
          <w:szCs w:val="22"/>
        </w:rPr>
      </w:pPr>
    </w:p>
    <w:p w:rsidR="00CF4A80" w:rsidRPr="004D6DE3" w:rsidRDefault="00CF4A80" w:rsidP="00CF4A80">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xml:space="preserve">This engagement can only be terminated: </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 xml:space="preserve">by the Precision Drilling or </w:t>
      </w:r>
      <w:r w:rsidRPr="004D6DE3">
        <w:rPr>
          <w:rFonts w:ascii="BankGothic Md BT" w:hAnsi="BankGothic Md BT"/>
          <w:color w:val="E7553D"/>
          <w:spacing w:val="-8"/>
          <w:sz w:val="22"/>
          <w:szCs w:val="22"/>
        </w:rPr>
        <w:t>C CUBED Data Integrators</w:t>
      </w:r>
      <w:r w:rsidRPr="004D6DE3">
        <w:rPr>
          <w:rFonts w:ascii="Calibri" w:hAnsi="Calibri"/>
          <w:color w:val="000000"/>
          <w:spacing w:val="-8"/>
          <w:sz w:val="22"/>
          <w:szCs w:val="22"/>
        </w:rPr>
        <w:t xml:space="preserve"> </w:t>
      </w:r>
      <w:r w:rsidRPr="004D6DE3">
        <w:rPr>
          <w:rFonts w:ascii="Calibri" w:hAnsi="Calibri"/>
          <w:color w:val="000000"/>
          <w:sz w:val="22"/>
          <w:szCs w:val="22"/>
        </w:rPr>
        <w:t xml:space="preserve">on 30 </w:t>
      </w:r>
      <w:r w:rsidR="004D6DE3" w:rsidRPr="004D6DE3">
        <w:rPr>
          <w:rFonts w:ascii="Calibri" w:hAnsi="Calibri"/>
          <w:color w:val="000000"/>
          <w:sz w:val="22"/>
          <w:szCs w:val="22"/>
        </w:rPr>
        <w:t>days’ notice</w:t>
      </w:r>
      <w:r w:rsidRPr="004D6DE3">
        <w:rPr>
          <w:rFonts w:ascii="Calibri" w:hAnsi="Calibri"/>
          <w:color w:val="000000"/>
          <w:sz w:val="22"/>
          <w:szCs w:val="22"/>
        </w:rPr>
        <w:t xml:space="preserve"> for any reason</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immediately by the Precision Drilling for cause or breach of any term by</w:t>
      </w:r>
      <w:r w:rsidRPr="004D6DE3">
        <w:rPr>
          <w:rFonts w:ascii="Calibri" w:hAnsi="Calibri"/>
          <w:color w:val="000000"/>
          <w:sz w:val="22"/>
          <w:szCs w:val="22"/>
        </w:rPr>
        <w:br/>
      </w:r>
      <w:r w:rsidRPr="004D6DE3">
        <w:rPr>
          <w:rFonts w:ascii="BankGothic Md BT" w:hAnsi="BankGothic Md BT"/>
          <w:color w:val="E7553D"/>
          <w:spacing w:val="-8"/>
          <w:sz w:val="22"/>
          <w:szCs w:val="22"/>
        </w:rPr>
        <w:t>C CUBED Data Integrators</w:t>
      </w:r>
      <w:r w:rsidRPr="004D6DE3">
        <w:rPr>
          <w:rFonts w:ascii="Calibri" w:hAnsi="Calibri"/>
          <w:color w:val="000000"/>
          <w:sz w:val="22"/>
          <w:szCs w:val="22"/>
        </w:rPr>
        <w:t xml:space="preserve"> or its representative</w:t>
      </w:r>
      <w:r w:rsidR="006B3D46">
        <w:rPr>
          <w:rFonts w:ascii="Calibri" w:hAnsi="Calibri"/>
          <w:color w:val="000000"/>
          <w:sz w:val="22"/>
          <w:szCs w:val="22"/>
        </w:rPr>
        <w:t>s</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automatically on expiry of the Term</w:t>
      </w:r>
    </w:p>
    <w:p w:rsidR="00CF4A80" w:rsidRPr="004D6DE3" w:rsidRDefault="00CF4A80" w:rsidP="00CF4A80">
      <w:pPr>
        <w:rPr>
          <w:rFonts w:ascii="Calibri" w:hAnsi="Calibri"/>
          <w:color w:val="000000"/>
          <w:sz w:val="22"/>
          <w:szCs w:val="22"/>
        </w:rPr>
      </w:pPr>
    </w:p>
    <w:p w:rsidR="00CF4A80" w:rsidRPr="004D6DE3" w:rsidRDefault="00CF4A80" w:rsidP="00CF4A80">
      <w:pPr>
        <w:rPr>
          <w:rFonts w:ascii="Calibri" w:hAnsi="Calibri"/>
          <w:color w:val="000000"/>
          <w:sz w:val="22"/>
          <w:szCs w:val="22"/>
        </w:rPr>
      </w:pPr>
    </w:p>
    <w:p w:rsidR="00CF4A80" w:rsidRPr="004D6DE3" w:rsidRDefault="00CF4A80" w:rsidP="00CF4A80">
      <w:pPr>
        <w:widowControl/>
        <w:autoSpaceDE/>
        <w:autoSpaceDN/>
        <w:adjustRightInd/>
        <w:rPr>
          <w:rFonts w:ascii="Calibri" w:hAnsi="Calibri" w:cs="Times New Roman"/>
          <w:color w:val="000000"/>
          <w:sz w:val="22"/>
          <w:szCs w:val="22"/>
        </w:rPr>
      </w:pPr>
      <w:r w:rsidRPr="004D6DE3">
        <w:rPr>
          <w:rFonts w:ascii="Calibri" w:hAnsi="Calibri" w:cs="Times New Roman"/>
          <w:b/>
          <w:color w:val="000000"/>
          <w:sz w:val="22"/>
          <w:szCs w:val="22"/>
          <w:u w:val="single"/>
        </w:rPr>
        <w:t>Approvals</w:t>
      </w:r>
    </w:p>
    <w:p w:rsidR="00CF4A80" w:rsidRPr="004D6DE3" w:rsidRDefault="00CF4A80" w:rsidP="00CF4A80">
      <w:pPr>
        <w:rPr>
          <w:rFonts w:ascii="Calibri" w:hAnsi="Calibri"/>
          <w:color w:val="000000"/>
          <w:sz w:val="22"/>
          <w:szCs w:val="22"/>
        </w:rPr>
      </w:pPr>
    </w:p>
    <w:p w:rsidR="00CF4A80" w:rsidRPr="004D6DE3" w:rsidRDefault="00CF4A80" w:rsidP="00CF4A80">
      <w:pPr>
        <w:rPr>
          <w:rFonts w:ascii="Calibri" w:hAnsi="Calibri"/>
          <w:color w:val="000000"/>
          <w:sz w:val="22"/>
          <w:szCs w:val="22"/>
        </w:rPr>
      </w:pPr>
    </w:p>
    <w:tbl>
      <w:tblPr>
        <w:tblStyle w:val="TableGrid"/>
        <w:tblW w:w="8586" w:type="dxa"/>
        <w:tblLook w:val="04A0" w:firstRow="1" w:lastRow="0" w:firstColumn="1" w:lastColumn="0" w:noHBand="0" w:noVBand="1"/>
      </w:tblPr>
      <w:tblGrid>
        <w:gridCol w:w="1638"/>
        <w:gridCol w:w="1800"/>
        <w:gridCol w:w="1980"/>
        <w:gridCol w:w="1890"/>
        <w:gridCol w:w="1278"/>
      </w:tblGrid>
      <w:tr w:rsidR="00605118" w:rsidRPr="004D6DE3" w:rsidTr="00605118">
        <w:tc>
          <w:tcPr>
            <w:tcW w:w="1638"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Bill Towsley</w:t>
            </w:r>
          </w:p>
        </w:tc>
        <w:tc>
          <w:tcPr>
            <w:tcW w:w="1800" w:type="dxa"/>
          </w:tcPr>
          <w:p w:rsidR="00605118" w:rsidRPr="004D6DE3" w:rsidRDefault="00605118" w:rsidP="00CF4A80">
            <w:pPr>
              <w:rPr>
                <w:rFonts w:ascii="Calibri" w:hAnsi="Calibri"/>
                <w:color w:val="000000"/>
                <w:sz w:val="22"/>
                <w:szCs w:val="22"/>
              </w:rPr>
            </w:pPr>
            <w:r w:rsidRPr="004D6DE3">
              <w:rPr>
                <w:rFonts w:ascii="BankGothic Md BT" w:hAnsi="BankGothic Md BT"/>
                <w:color w:val="E7553D"/>
                <w:spacing w:val="-8"/>
                <w:sz w:val="22"/>
                <w:szCs w:val="22"/>
              </w:rPr>
              <w:t>C CUBED DI</w:t>
            </w:r>
          </w:p>
        </w:tc>
        <w:tc>
          <w:tcPr>
            <w:tcW w:w="1980"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Managing Partner</w:t>
            </w:r>
          </w:p>
        </w:tc>
        <w:tc>
          <w:tcPr>
            <w:tcW w:w="1890" w:type="dxa"/>
          </w:tcPr>
          <w:p w:rsidR="00605118" w:rsidRPr="004D6DE3" w:rsidRDefault="00605118" w:rsidP="00CF4A80">
            <w:pPr>
              <w:rPr>
                <w:rFonts w:ascii="Calibri" w:hAnsi="Calibri"/>
                <w:color w:val="000000"/>
                <w:sz w:val="22"/>
                <w:szCs w:val="22"/>
              </w:rPr>
            </w:pPr>
            <w:r w:rsidRPr="004D6DE3">
              <w:rPr>
                <w:rFonts w:ascii="Calibri" w:hAnsi="Calibri"/>
                <w:noProof/>
                <w:color w:val="000000"/>
                <w:sz w:val="22"/>
                <w:szCs w:val="22"/>
              </w:rPr>
              <w:drawing>
                <wp:inline distT="0" distB="0" distL="0" distR="0" wp14:anchorId="48A662E2" wp14:editId="322C607A">
                  <wp:extent cx="819150" cy="382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_electronic.bmp"/>
                          <pic:cNvPicPr/>
                        </pic:nvPicPr>
                        <pic:blipFill>
                          <a:blip r:embed="rId12">
                            <a:extLst>
                              <a:ext uri="{28A0092B-C50C-407E-A947-70E740481C1C}">
                                <a14:useLocalDpi xmlns:a14="http://schemas.microsoft.com/office/drawing/2010/main" val="0"/>
                              </a:ext>
                            </a:extLst>
                          </a:blip>
                          <a:stretch>
                            <a:fillRect/>
                          </a:stretch>
                        </pic:blipFill>
                        <pic:spPr>
                          <a:xfrm>
                            <a:off x="0" y="0"/>
                            <a:ext cx="822638" cy="384592"/>
                          </a:xfrm>
                          <a:prstGeom prst="rect">
                            <a:avLst/>
                          </a:prstGeom>
                        </pic:spPr>
                      </pic:pic>
                    </a:graphicData>
                  </a:graphic>
                </wp:inline>
              </w:drawing>
            </w:r>
          </w:p>
        </w:tc>
        <w:tc>
          <w:tcPr>
            <w:tcW w:w="1278" w:type="dxa"/>
          </w:tcPr>
          <w:p w:rsidR="00605118" w:rsidRPr="004D6DE3" w:rsidRDefault="00D1065B" w:rsidP="00D1065B">
            <w:pPr>
              <w:rPr>
                <w:rFonts w:ascii="Calibri" w:hAnsi="Calibri"/>
                <w:color w:val="000000"/>
                <w:sz w:val="22"/>
                <w:szCs w:val="22"/>
              </w:rPr>
            </w:pPr>
            <w:r>
              <w:rPr>
                <w:rFonts w:ascii="Calibri" w:hAnsi="Calibri"/>
                <w:color w:val="000000"/>
                <w:sz w:val="22"/>
                <w:szCs w:val="22"/>
              </w:rPr>
              <w:t>2015/06</w:t>
            </w:r>
            <w:r w:rsidR="00700F8C">
              <w:rPr>
                <w:rFonts w:ascii="Calibri" w:hAnsi="Calibri"/>
                <w:color w:val="000000"/>
                <w:sz w:val="22"/>
                <w:szCs w:val="22"/>
              </w:rPr>
              <w:t>/</w:t>
            </w:r>
            <w:r>
              <w:rPr>
                <w:rFonts w:ascii="Calibri" w:hAnsi="Calibri"/>
                <w:color w:val="000000"/>
                <w:sz w:val="22"/>
                <w:szCs w:val="22"/>
              </w:rPr>
              <w:t>01</w:t>
            </w:r>
          </w:p>
        </w:tc>
      </w:tr>
      <w:tr w:rsidR="00605118" w:rsidRPr="004D6DE3" w:rsidTr="00605118">
        <w:trPr>
          <w:trHeight w:val="467"/>
        </w:trPr>
        <w:tc>
          <w:tcPr>
            <w:tcW w:w="1638"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Rachel Golson</w:t>
            </w:r>
          </w:p>
        </w:tc>
        <w:tc>
          <w:tcPr>
            <w:tcW w:w="1800"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Precision Drilling</w:t>
            </w: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r w:rsidR="00605118" w:rsidRPr="004D6DE3" w:rsidTr="00605118">
        <w:trPr>
          <w:trHeight w:val="458"/>
        </w:trPr>
        <w:tc>
          <w:tcPr>
            <w:tcW w:w="1638" w:type="dxa"/>
          </w:tcPr>
          <w:p w:rsidR="00605118" w:rsidRPr="004D6DE3" w:rsidRDefault="00605118" w:rsidP="00B45F6F">
            <w:pPr>
              <w:rPr>
                <w:rFonts w:ascii="Calibri" w:hAnsi="Calibri"/>
                <w:color w:val="000000"/>
                <w:sz w:val="22"/>
                <w:szCs w:val="22"/>
              </w:rPr>
            </w:pPr>
            <w:r w:rsidRPr="004D6DE3">
              <w:rPr>
                <w:rFonts w:ascii="Calibri" w:hAnsi="Calibri"/>
                <w:color w:val="000000"/>
                <w:sz w:val="22"/>
                <w:szCs w:val="22"/>
              </w:rPr>
              <w:t xml:space="preserve">Bob </w:t>
            </w:r>
            <w:proofErr w:type="spellStart"/>
            <w:r w:rsidRPr="004D6DE3">
              <w:rPr>
                <w:rFonts w:ascii="Calibri" w:hAnsi="Calibri"/>
                <w:color w:val="000000"/>
                <w:sz w:val="22"/>
                <w:szCs w:val="22"/>
              </w:rPr>
              <w:t>Klay</w:t>
            </w:r>
            <w:proofErr w:type="spellEnd"/>
          </w:p>
        </w:tc>
        <w:tc>
          <w:tcPr>
            <w:tcW w:w="1800" w:type="dxa"/>
          </w:tcPr>
          <w:p w:rsidR="00605118" w:rsidRPr="004D6DE3" w:rsidRDefault="00605118" w:rsidP="00B45F6F">
            <w:pPr>
              <w:rPr>
                <w:rFonts w:ascii="Calibri" w:hAnsi="Calibri"/>
                <w:color w:val="000000"/>
                <w:sz w:val="22"/>
                <w:szCs w:val="22"/>
              </w:rPr>
            </w:pPr>
            <w:r w:rsidRPr="004D6DE3">
              <w:rPr>
                <w:rFonts w:ascii="Calibri" w:hAnsi="Calibri"/>
                <w:color w:val="000000"/>
                <w:sz w:val="22"/>
                <w:szCs w:val="22"/>
              </w:rPr>
              <w:t>Precision Drilling</w:t>
            </w: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r w:rsidR="00605118" w:rsidRPr="004D6DE3" w:rsidTr="00605118">
        <w:trPr>
          <w:trHeight w:val="512"/>
        </w:trPr>
        <w:tc>
          <w:tcPr>
            <w:tcW w:w="1638" w:type="dxa"/>
          </w:tcPr>
          <w:p w:rsidR="00605118" w:rsidRPr="004D6DE3" w:rsidRDefault="00605118" w:rsidP="00B45F6F">
            <w:pPr>
              <w:rPr>
                <w:rFonts w:ascii="Calibri" w:hAnsi="Calibri"/>
                <w:color w:val="000000"/>
                <w:sz w:val="22"/>
                <w:szCs w:val="22"/>
              </w:rPr>
            </w:pPr>
          </w:p>
        </w:tc>
        <w:tc>
          <w:tcPr>
            <w:tcW w:w="1800" w:type="dxa"/>
          </w:tcPr>
          <w:p w:rsidR="00605118" w:rsidRPr="004D6DE3" w:rsidRDefault="00605118" w:rsidP="00B45F6F">
            <w:pPr>
              <w:rPr>
                <w:rFonts w:ascii="Calibri" w:hAnsi="Calibri"/>
                <w:color w:val="000000"/>
                <w:sz w:val="22"/>
                <w:szCs w:val="22"/>
              </w:rPr>
            </w:pP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bl>
    <w:p w:rsidR="00506537" w:rsidRPr="004D6DE3" w:rsidRDefault="00506537" w:rsidP="00F540C7">
      <w:pPr>
        <w:widowControl/>
        <w:autoSpaceDE/>
        <w:autoSpaceDN/>
        <w:adjustRightInd/>
        <w:rPr>
          <w:rFonts w:ascii="Calibri" w:hAnsi="Calibri"/>
          <w:color w:val="000000"/>
          <w:sz w:val="22"/>
          <w:szCs w:val="22"/>
        </w:rPr>
      </w:pPr>
    </w:p>
    <w:sectPr w:rsidR="00506537" w:rsidRPr="004D6DE3" w:rsidSect="0038530C">
      <w:footerReference w:type="default" r:id="rId13"/>
      <w:pgSz w:w="12240" w:h="15840"/>
      <w:pgMar w:top="1440" w:right="2738" w:bottom="720" w:left="1774"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01" w:rsidRDefault="007F2601" w:rsidP="00ED5E0D">
      <w:r>
        <w:separator/>
      </w:r>
    </w:p>
  </w:endnote>
  <w:endnote w:type="continuationSeparator" w:id="0">
    <w:p w:rsidR="007F2601" w:rsidRDefault="007F2601" w:rsidP="00ED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MS PGothic"/>
    <w:panose1 w:val="020B0807020203060204"/>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46" w:rsidRDefault="0038530C" w:rsidP="0038530C">
    <w:pPr>
      <w:pStyle w:val="Footer"/>
      <w:pBdr>
        <w:top w:val="single" w:sz="4" w:space="1" w:color="D9D9D9" w:themeColor="background1" w:themeShade="D9"/>
      </w:pBdr>
      <w:jc w:val="both"/>
    </w:pPr>
    <w:r>
      <w:tab/>
    </w:r>
    <w:r>
      <w:tab/>
      <w:t xml:space="preserve"> </w:t>
    </w:r>
    <w:sdt>
      <w:sdtPr>
        <w:id w:val="-1045140761"/>
        <w:docPartObj>
          <w:docPartGallery w:val="Page Numbers (Bottom of Page)"/>
          <w:docPartUnique/>
        </w:docPartObj>
      </w:sdtPr>
      <w:sdtEndPr>
        <w:rPr>
          <w:color w:val="808080" w:themeColor="background1" w:themeShade="80"/>
          <w:spacing w:val="60"/>
        </w:rPr>
      </w:sdtEndPr>
      <w:sdtContent>
        <w:r w:rsidR="006B3D46">
          <w:fldChar w:fldCharType="begin"/>
        </w:r>
        <w:r w:rsidR="006B3D46">
          <w:instrText xml:space="preserve"> PAGE   \* MERGEFORMAT </w:instrText>
        </w:r>
        <w:r w:rsidR="006B3D46">
          <w:fldChar w:fldCharType="separate"/>
        </w:r>
        <w:r w:rsidR="00ED444D">
          <w:rPr>
            <w:noProof/>
          </w:rPr>
          <w:t>2</w:t>
        </w:r>
        <w:r w:rsidR="006B3D46">
          <w:rPr>
            <w:noProof/>
          </w:rPr>
          <w:fldChar w:fldCharType="end"/>
        </w:r>
        <w:r w:rsidR="006B3D46">
          <w:t xml:space="preserve"> | </w:t>
        </w:r>
        <w:r w:rsidR="006B3D46">
          <w:rPr>
            <w:color w:val="808080" w:themeColor="background1" w:themeShade="80"/>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0C" w:rsidRDefault="00ED444D" w:rsidP="0038530C">
    <w:pPr>
      <w:pStyle w:val="Footer"/>
      <w:pBdr>
        <w:top w:val="single" w:sz="4" w:space="1" w:color="D9D9D9" w:themeColor="background1" w:themeShade="D9"/>
      </w:pBdr>
      <w:jc w:val="both"/>
    </w:pPr>
    <w:r>
      <w:t>Statement of Work</w:t>
    </w:r>
    <w:r w:rsidR="0038530C">
      <w:tab/>
    </w:r>
    <w:r w:rsidR="0038530C">
      <w:tab/>
      <w:t xml:space="preserve"> </w:t>
    </w:r>
    <w:sdt>
      <w:sdtPr>
        <w:id w:val="-1164691448"/>
        <w:docPartObj>
          <w:docPartGallery w:val="Page Numbers (Bottom of Page)"/>
          <w:docPartUnique/>
        </w:docPartObj>
      </w:sdtPr>
      <w:sdtEndPr>
        <w:rPr>
          <w:color w:val="808080" w:themeColor="background1" w:themeShade="80"/>
          <w:spacing w:val="60"/>
        </w:rPr>
      </w:sdtEndPr>
      <w:sdtContent>
        <w:r w:rsidR="0038530C">
          <w:fldChar w:fldCharType="begin"/>
        </w:r>
        <w:r w:rsidR="0038530C">
          <w:instrText xml:space="preserve"> PAGE   \* MERGEFORMAT </w:instrText>
        </w:r>
        <w:r w:rsidR="0038530C">
          <w:fldChar w:fldCharType="separate"/>
        </w:r>
        <w:r>
          <w:rPr>
            <w:noProof/>
          </w:rPr>
          <w:t>6</w:t>
        </w:r>
        <w:r w:rsidR="0038530C">
          <w:rPr>
            <w:noProof/>
          </w:rPr>
          <w:fldChar w:fldCharType="end"/>
        </w:r>
        <w:r w:rsidR="0038530C">
          <w:t xml:space="preserve"> | </w:t>
        </w:r>
        <w:r w:rsidR="0038530C">
          <w:rPr>
            <w:color w:val="808080" w:themeColor="background1" w:themeShade="80"/>
            <w:spacing w:val="60"/>
          </w:rPr>
          <w:t>Page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01" w:rsidRDefault="007F2601" w:rsidP="00ED5E0D">
      <w:r>
        <w:separator/>
      </w:r>
    </w:p>
  </w:footnote>
  <w:footnote w:type="continuationSeparator" w:id="0">
    <w:p w:rsidR="007F2601" w:rsidRDefault="007F2601" w:rsidP="00ED5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F6F" w:rsidRPr="00AE1DF6" w:rsidRDefault="00B45F6F" w:rsidP="00E87D71">
    <w:pPr>
      <w:shd w:val="clear" w:color="auto" w:fill="FFFFFF"/>
      <w:tabs>
        <w:tab w:val="right" w:pos="7740"/>
      </w:tabs>
      <w:rPr>
        <w:rFonts w:ascii="BankGothic Md BT" w:hAnsi="BankGothic Md BT"/>
        <w:color w:val="FF0000"/>
        <w:spacing w:val="-9"/>
        <w:sz w:val="32"/>
        <w:szCs w:val="32"/>
        <w:lang w:val="en-US"/>
      </w:rPr>
    </w:pPr>
    <w:r>
      <w:rPr>
        <w:rFonts w:ascii="Calibri" w:hAnsi="Calibri"/>
        <w:noProof/>
        <w:color w:val="E7553D"/>
        <w:spacing w:val="-9"/>
        <w:sz w:val="22"/>
        <w:szCs w:val="22"/>
      </w:rPr>
      <w:drawing>
        <wp:inline distT="0" distB="0" distL="0" distR="0" wp14:anchorId="511C91B4" wp14:editId="500E7A29">
          <wp:extent cx="819150" cy="704850"/>
          <wp:effectExtent l="0" t="0" r="0" b="0"/>
          <wp:docPr id="4" name="Picture 4" descr="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04850"/>
                  </a:xfrm>
                  <a:prstGeom prst="rect">
                    <a:avLst/>
                  </a:prstGeom>
                  <a:noFill/>
                  <a:ln>
                    <a:noFill/>
                  </a:ln>
                </pic:spPr>
              </pic:pic>
            </a:graphicData>
          </a:graphic>
        </wp:inline>
      </w:drawing>
    </w:r>
    <w:r>
      <w:rPr>
        <w:rFonts w:ascii="BankGothic Md BT" w:hAnsi="BankGothic Md BT"/>
        <w:color w:val="FF0000"/>
        <w:spacing w:val="-9"/>
        <w:sz w:val="32"/>
        <w:szCs w:val="32"/>
        <w:lang w:val="en-US"/>
      </w:rPr>
      <w:tab/>
    </w:r>
    <w:r>
      <w:rPr>
        <w:rFonts w:ascii="BankGothic Md BT" w:hAnsi="BankGothic Md BT"/>
        <w:noProof/>
        <w:color w:val="FF0000"/>
        <w:spacing w:val="-9"/>
        <w:sz w:val="32"/>
        <w:szCs w:val="32"/>
      </w:rPr>
      <w:drawing>
        <wp:inline distT="0" distB="0" distL="0" distR="0" wp14:anchorId="56715394" wp14:editId="54A0490E">
          <wp:extent cx="2698247" cy="718021"/>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di_name.fw.png"/>
                  <pic:cNvPicPr/>
                </pic:nvPicPr>
                <pic:blipFill>
                  <a:blip r:embed="rId2">
                    <a:extLst>
                      <a:ext uri="{28A0092B-C50C-407E-A947-70E740481C1C}">
                        <a14:useLocalDpi xmlns:a14="http://schemas.microsoft.com/office/drawing/2010/main" val="0"/>
                      </a:ext>
                    </a:extLst>
                  </a:blip>
                  <a:stretch>
                    <a:fillRect/>
                  </a:stretch>
                </pic:blipFill>
                <pic:spPr>
                  <a:xfrm>
                    <a:off x="0" y="0"/>
                    <a:ext cx="2698247" cy="718021"/>
                  </a:xfrm>
                  <a:prstGeom prst="rect">
                    <a:avLst/>
                  </a:prstGeom>
                </pic:spPr>
              </pic:pic>
            </a:graphicData>
          </a:graphic>
        </wp:inline>
      </w:drawing>
    </w:r>
  </w:p>
  <w:p w:rsidR="00B45F6F" w:rsidRDefault="00B45F6F">
    <w:pPr>
      <w:pStyle w:val="Header"/>
    </w:pPr>
  </w:p>
  <w:p w:rsidR="00B45F6F" w:rsidRDefault="00B45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7C9E6E"/>
    <w:lvl w:ilvl="0">
      <w:numFmt w:val="bullet"/>
      <w:lvlText w:val="*"/>
      <w:lvlJc w:val="left"/>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95A3589"/>
    <w:multiLevelType w:val="hybridMultilevel"/>
    <w:tmpl w:val="F48A04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9883A5F"/>
    <w:multiLevelType w:val="hybridMultilevel"/>
    <w:tmpl w:val="11F8B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99E72CC"/>
    <w:multiLevelType w:val="hybridMultilevel"/>
    <w:tmpl w:val="8182F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2C4B8F"/>
    <w:multiLevelType w:val="hybridMultilevel"/>
    <w:tmpl w:val="EB34E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7">
    <w:nsid w:val="22846B3A"/>
    <w:multiLevelType w:val="hybridMultilevel"/>
    <w:tmpl w:val="E3305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2E555ED"/>
    <w:multiLevelType w:val="hybridMultilevel"/>
    <w:tmpl w:val="3724A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06B318A"/>
    <w:multiLevelType w:val="hybridMultilevel"/>
    <w:tmpl w:val="E69224C8"/>
    <w:lvl w:ilvl="0" w:tplc="CE7E53E0">
      <w:numFmt w:val="bullet"/>
      <w:lvlText w:val="•"/>
      <w:lvlJc w:val="left"/>
      <w:pPr>
        <w:ind w:left="720" w:hanging="72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30C6670B"/>
    <w:multiLevelType w:val="hybridMultilevel"/>
    <w:tmpl w:val="A3DA8C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E7B3E"/>
    <w:multiLevelType w:val="hybridMultilevel"/>
    <w:tmpl w:val="79AC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010A9"/>
    <w:multiLevelType w:val="hybridMultilevel"/>
    <w:tmpl w:val="A4526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42E4CC4"/>
    <w:multiLevelType w:val="hybridMultilevel"/>
    <w:tmpl w:val="80AA8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B55439E"/>
    <w:multiLevelType w:val="hybridMultilevel"/>
    <w:tmpl w:val="A150F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45A3F4A"/>
    <w:multiLevelType w:val="hybridMultilevel"/>
    <w:tmpl w:val="51967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6844F03"/>
    <w:multiLevelType w:val="hybridMultilevel"/>
    <w:tmpl w:val="DD48C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5F83752"/>
    <w:multiLevelType w:val="hybridMultilevel"/>
    <w:tmpl w:val="FFA02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5E517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973BA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2">
    <w:nsid w:val="795D340D"/>
    <w:multiLevelType w:val="hybridMultilevel"/>
    <w:tmpl w:val="117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06E7D"/>
    <w:multiLevelType w:val="hybridMultilevel"/>
    <w:tmpl w:val="27601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9F7872"/>
    <w:multiLevelType w:val="hybridMultilevel"/>
    <w:tmpl w:val="E9ECA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07"/>
        <w:lvlJc w:val="left"/>
        <w:rPr>
          <w:rFonts w:ascii="Arial" w:hAnsi="Arial" w:cs="Arial" w:hint="default"/>
        </w:rPr>
      </w:lvl>
    </w:lvlOverride>
  </w:num>
  <w:num w:numId="2">
    <w:abstractNumId w:val="12"/>
  </w:num>
  <w:num w:numId="3">
    <w:abstractNumId w:val="22"/>
  </w:num>
  <w:num w:numId="4">
    <w:abstractNumId w:val="4"/>
  </w:num>
  <w:num w:numId="5">
    <w:abstractNumId w:val="18"/>
  </w:num>
  <w:num w:numId="6">
    <w:abstractNumId w:val="7"/>
  </w:num>
  <w:num w:numId="7">
    <w:abstractNumId w:val="15"/>
  </w:num>
  <w:num w:numId="8">
    <w:abstractNumId w:val="14"/>
  </w:num>
  <w:num w:numId="9">
    <w:abstractNumId w:val="3"/>
  </w:num>
  <w:num w:numId="10">
    <w:abstractNumId w:val="20"/>
  </w:num>
  <w:num w:numId="11">
    <w:abstractNumId w:val="19"/>
  </w:num>
  <w:num w:numId="12">
    <w:abstractNumId w:val="8"/>
  </w:num>
  <w:num w:numId="13">
    <w:abstractNumId w:val="10"/>
  </w:num>
  <w:num w:numId="14">
    <w:abstractNumId w:val="24"/>
  </w:num>
  <w:num w:numId="15">
    <w:abstractNumId w:val="17"/>
  </w:num>
  <w:num w:numId="16">
    <w:abstractNumId w:val="13"/>
  </w:num>
  <w:num w:numId="17">
    <w:abstractNumId w:val="5"/>
  </w:num>
  <w:num w:numId="18">
    <w:abstractNumId w:val="23"/>
  </w:num>
  <w:num w:numId="19">
    <w:abstractNumId w:val="2"/>
  </w:num>
  <w:num w:numId="20">
    <w:abstractNumId w:val="16"/>
  </w:num>
  <w:num w:numId="21">
    <w:abstractNumId w:val="6"/>
  </w:num>
  <w:num w:numId="22">
    <w:abstractNumId w:val="21"/>
  </w:num>
  <w:num w:numId="23">
    <w:abstractNumId w:val="11"/>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A3"/>
    <w:rsid w:val="0003281E"/>
    <w:rsid w:val="0003376C"/>
    <w:rsid w:val="00057B56"/>
    <w:rsid w:val="00072F8B"/>
    <w:rsid w:val="00081974"/>
    <w:rsid w:val="000C288A"/>
    <w:rsid w:val="000E099B"/>
    <w:rsid w:val="000F3501"/>
    <w:rsid w:val="000F36B8"/>
    <w:rsid w:val="001D0245"/>
    <w:rsid w:val="001E1ABD"/>
    <w:rsid w:val="002118BA"/>
    <w:rsid w:val="00212E64"/>
    <w:rsid w:val="002236B0"/>
    <w:rsid w:val="0022438D"/>
    <w:rsid w:val="002652D6"/>
    <w:rsid w:val="00276B0A"/>
    <w:rsid w:val="002844DD"/>
    <w:rsid w:val="002D549F"/>
    <w:rsid w:val="002F70F0"/>
    <w:rsid w:val="00345B84"/>
    <w:rsid w:val="003579FC"/>
    <w:rsid w:val="00361E06"/>
    <w:rsid w:val="00366910"/>
    <w:rsid w:val="0038530C"/>
    <w:rsid w:val="003A0FD3"/>
    <w:rsid w:val="003D7290"/>
    <w:rsid w:val="00411ECB"/>
    <w:rsid w:val="00415592"/>
    <w:rsid w:val="004562AC"/>
    <w:rsid w:val="00456B65"/>
    <w:rsid w:val="004B49F9"/>
    <w:rsid w:val="004D6DE3"/>
    <w:rsid w:val="00506537"/>
    <w:rsid w:val="00520698"/>
    <w:rsid w:val="00534361"/>
    <w:rsid w:val="005B192A"/>
    <w:rsid w:val="005C222D"/>
    <w:rsid w:val="005E23E9"/>
    <w:rsid w:val="005F52AC"/>
    <w:rsid w:val="00601ACF"/>
    <w:rsid w:val="0060303E"/>
    <w:rsid w:val="00605118"/>
    <w:rsid w:val="00636E76"/>
    <w:rsid w:val="00651447"/>
    <w:rsid w:val="00651A74"/>
    <w:rsid w:val="00665B53"/>
    <w:rsid w:val="0068405A"/>
    <w:rsid w:val="00691FF3"/>
    <w:rsid w:val="006A4D6F"/>
    <w:rsid w:val="006B20DB"/>
    <w:rsid w:val="006B3D46"/>
    <w:rsid w:val="006C159D"/>
    <w:rsid w:val="006F1321"/>
    <w:rsid w:val="00700F8C"/>
    <w:rsid w:val="007424EB"/>
    <w:rsid w:val="007D2FAC"/>
    <w:rsid w:val="007F2601"/>
    <w:rsid w:val="00872E88"/>
    <w:rsid w:val="00887B15"/>
    <w:rsid w:val="008C17F8"/>
    <w:rsid w:val="00934CBB"/>
    <w:rsid w:val="009351BF"/>
    <w:rsid w:val="00997B46"/>
    <w:rsid w:val="00A00C64"/>
    <w:rsid w:val="00A1772D"/>
    <w:rsid w:val="00A2467F"/>
    <w:rsid w:val="00A26814"/>
    <w:rsid w:val="00A46917"/>
    <w:rsid w:val="00AD12A3"/>
    <w:rsid w:val="00AE1DF6"/>
    <w:rsid w:val="00B102C0"/>
    <w:rsid w:val="00B27AF6"/>
    <w:rsid w:val="00B45F6F"/>
    <w:rsid w:val="00B648D2"/>
    <w:rsid w:val="00B6785F"/>
    <w:rsid w:val="00B92029"/>
    <w:rsid w:val="00C019BE"/>
    <w:rsid w:val="00C102CA"/>
    <w:rsid w:val="00C67C6E"/>
    <w:rsid w:val="00CF4805"/>
    <w:rsid w:val="00CF4A80"/>
    <w:rsid w:val="00D1065B"/>
    <w:rsid w:val="00D2429A"/>
    <w:rsid w:val="00D4024C"/>
    <w:rsid w:val="00D428E3"/>
    <w:rsid w:val="00D674F7"/>
    <w:rsid w:val="00DF067B"/>
    <w:rsid w:val="00E55F01"/>
    <w:rsid w:val="00E57F1F"/>
    <w:rsid w:val="00E858CD"/>
    <w:rsid w:val="00E87D71"/>
    <w:rsid w:val="00EB0F60"/>
    <w:rsid w:val="00EC01CF"/>
    <w:rsid w:val="00ED444D"/>
    <w:rsid w:val="00ED5E0D"/>
    <w:rsid w:val="00ED76A9"/>
    <w:rsid w:val="00F01AB3"/>
    <w:rsid w:val="00F35A4F"/>
    <w:rsid w:val="00F35C9B"/>
    <w:rsid w:val="00F540C7"/>
    <w:rsid w:val="00F94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1E"/>
    <w:pPr>
      <w:widowControl/>
      <w:autoSpaceDE/>
      <w:autoSpaceDN/>
      <w:adjustRightInd/>
      <w:ind w:left="720"/>
      <w:contextualSpacing/>
    </w:pPr>
    <w:rPr>
      <w:rFonts w:ascii="Times New Roman" w:hAnsi="Times New Roman" w:cs="Times New Roman"/>
      <w:sz w:val="24"/>
      <w:szCs w:val="24"/>
    </w:rPr>
  </w:style>
  <w:style w:type="table" w:styleId="TableGrid">
    <w:name w:val="Table Grid"/>
    <w:basedOn w:val="TableNormal"/>
    <w:rsid w:val="0003281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51447"/>
    <w:rPr>
      <w:rFonts w:ascii="Tahoma" w:hAnsi="Tahoma" w:cs="Tahoma"/>
      <w:sz w:val="16"/>
      <w:szCs w:val="16"/>
    </w:rPr>
  </w:style>
  <w:style w:type="character" w:customStyle="1" w:styleId="BalloonTextChar">
    <w:name w:val="Balloon Text Char"/>
    <w:basedOn w:val="DefaultParagraphFont"/>
    <w:link w:val="BalloonText"/>
    <w:uiPriority w:val="99"/>
    <w:semiHidden/>
    <w:rsid w:val="00651447"/>
    <w:rPr>
      <w:rFonts w:ascii="Tahoma" w:hAnsi="Tahoma" w:cs="Tahoma"/>
      <w:sz w:val="16"/>
      <w:szCs w:val="16"/>
    </w:rPr>
  </w:style>
  <w:style w:type="paragraph" w:styleId="Header">
    <w:name w:val="header"/>
    <w:basedOn w:val="Normal"/>
    <w:link w:val="HeaderChar"/>
    <w:uiPriority w:val="99"/>
    <w:unhideWhenUsed/>
    <w:rsid w:val="00ED5E0D"/>
    <w:pPr>
      <w:tabs>
        <w:tab w:val="center" w:pos="4680"/>
        <w:tab w:val="right" w:pos="9360"/>
      </w:tabs>
    </w:pPr>
  </w:style>
  <w:style w:type="character" w:customStyle="1" w:styleId="HeaderChar">
    <w:name w:val="Header Char"/>
    <w:basedOn w:val="DefaultParagraphFont"/>
    <w:link w:val="Header"/>
    <w:uiPriority w:val="99"/>
    <w:rsid w:val="00ED5E0D"/>
    <w:rPr>
      <w:rFonts w:ascii="Arial" w:hAnsi="Arial" w:cs="Arial"/>
    </w:rPr>
  </w:style>
  <w:style w:type="paragraph" w:styleId="Footer">
    <w:name w:val="footer"/>
    <w:basedOn w:val="Normal"/>
    <w:link w:val="FooterChar"/>
    <w:uiPriority w:val="99"/>
    <w:unhideWhenUsed/>
    <w:rsid w:val="00ED5E0D"/>
    <w:pPr>
      <w:tabs>
        <w:tab w:val="center" w:pos="4680"/>
        <w:tab w:val="right" w:pos="9360"/>
      </w:tabs>
    </w:pPr>
  </w:style>
  <w:style w:type="character" w:customStyle="1" w:styleId="FooterChar">
    <w:name w:val="Footer Char"/>
    <w:basedOn w:val="DefaultParagraphFont"/>
    <w:link w:val="Footer"/>
    <w:uiPriority w:val="99"/>
    <w:rsid w:val="00ED5E0D"/>
    <w:rPr>
      <w:rFonts w:ascii="Arial" w:hAnsi="Arial" w:cs="Arial"/>
    </w:rPr>
  </w:style>
  <w:style w:type="paragraph" w:customStyle="1" w:styleId="StdBodyList">
    <w:name w:val="Std Body List"/>
    <w:rsid w:val="00D1065B"/>
    <w:pPr>
      <w:numPr>
        <w:numId w:val="21"/>
      </w:numPr>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1E"/>
    <w:pPr>
      <w:widowControl/>
      <w:autoSpaceDE/>
      <w:autoSpaceDN/>
      <w:adjustRightInd/>
      <w:ind w:left="720"/>
      <w:contextualSpacing/>
    </w:pPr>
    <w:rPr>
      <w:rFonts w:ascii="Times New Roman" w:hAnsi="Times New Roman" w:cs="Times New Roman"/>
      <w:sz w:val="24"/>
      <w:szCs w:val="24"/>
    </w:rPr>
  </w:style>
  <w:style w:type="table" w:styleId="TableGrid">
    <w:name w:val="Table Grid"/>
    <w:basedOn w:val="TableNormal"/>
    <w:rsid w:val="0003281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51447"/>
    <w:rPr>
      <w:rFonts w:ascii="Tahoma" w:hAnsi="Tahoma" w:cs="Tahoma"/>
      <w:sz w:val="16"/>
      <w:szCs w:val="16"/>
    </w:rPr>
  </w:style>
  <w:style w:type="character" w:customStyle="1" w:styleId="BalloonTextChar">
    <w:name w:val="Balloon Text Char"/>
    <w:basedOn w:val="DefaultParagraphFont"/>
    <w:link w:val="BalloonText"/>
    <w:uiPriority w:val="99"/>
    <w:semiHidden/>
    <w:rsid w:val="00651447"/>
    <w:rPr>
      <w:rFonts w:ascii="Tahoma" w:hAnsi="Tahoma" w:cs="Tahoma"/>
      <w:sz w:val="16"/>
      <w:szCs w:val="16"/>
    </w:rPr>
  </w:style>
  <w:style w:type="paragraph" w:styleId="Header">
    <w:name w:val="header"/>
    <w:basedOn w:val="Normal"/>
    <w:link w:val="HeaderChar"/>
    <w:uiPriority w:val="99"/>
    <w:unhideWhenUsed/>
    <w:rsid w:val="00ED5E0D"/>
    <w:pPr>
      <w:tabs>
        <w:tab w:val="center" w:pos="4680"/>
        <w:tab w:val="right" w:pos="9360"/>
      </w:tabs>
    </w:pPr>
  </w:style>
  <w:style w:type="character" w:customStyle="1" w:styleId="HeaderChar">
    <w:name w:val="Header Char"/>
    <w:basedOn w:val="DefaultParagraphFont"/>
    <w:link w:val="Header"/>
    <w:uiPriority w:val="99"/>
    <w:rsid w:val="00ED5E0D"/>
    <w:rPr>
      <w:rFonts w:ascii="Arial" w:hAnsi="Arial" w:cs="Arial"/>
    </w:rPr>
  </w:style>
  <w:style w:type="paragraph" w:styleId="Footer">
    <w:name w:val="footer"/>
    <w:basedOn w:val="Normal"/>
    <w:link w:val="FooterChar"/>
    <w:uiPriority w:val="99"/>
    <w:unhideWhenUsed/>
    <w:rsid w:val="00ED5E0D"/>
    <w:pPr>
      <w:tabs>
        <w:tab w:val="center" w:pos="4680"/>
        <w:tab w:val="right" w:pos="9360"/>
      </w:tabs>
    </w:pPr>
  </w:style>
  <w:style w:type="character" w:customStyle="1" w:styleId="FooterChar">
    <w:name w:val="Footer Char"/>
    <w:basedOn w:val="DefaultParagraphFont"/>
    <w:link w:val="Footer"/>
    <w:uiPriority w:val="99"/>
    <w:rsid w:val="00ED5E0D"/>
    <w:rPr>
      <w:rFonts w:ascii="Arial" w:hAnsi="Arial" w:cs="Arial"/>
    </w:rPr>
  </w:style>
  <w:style w:type="paragraph" w:customStyle="1" w:styleId="StdBodyList">
    <w:name w:val="Std Body List"/>
    <w:rsid w:val="00D1065B"/>
    <w:pPr>
      <w:numPr>
        <w:numId w:val="21"/>
      </w:numPr>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6670">
      <w:bodyDiv w:val="1"/>
      <w:marLeft w:val="0"/>
      <w:marRight w:val="0"/>
      <w:marTop w:val="0"/>
      <w:marBottom w:val="0"/>
      <w:divBdr>
        <w:top w:val="none" w:sz="0" w:space="0" w:color="auto"/>
        <w:left w:val="none" w:sz="0" w:space="0" w:color="auto"/>
        <w:bottom w:val="none" w:sz="0" w:space="0" w:color="auto"/>
        <w:right w:val="none" w:sz="0" w:space="0" w:color="auto"/>
      </w:divBdr>
    </w:div>
    <w:div w:id="675888125">
      <w:bodyDiv w:val="1"/>
      <w:marLeft w:val="0"/>
      <w:marRight w:val="0"/>
      <w:marTop w:val="0"/>
      <w:marBottom w:val="0"/>
      <w:divBdr>
        <w:top w:val="none" w:sz="0" w:space="0" w:color="auto"/>
        <w:left w:val="none" w:sz="0" w:space="0" w:color="auto"/>
        <w:bottom w:val="none" w:sz="0" w:space="0" w:color="auto"/>
        <w:right w:val="none" w:sz="0" w:space="0" w:color="auto"/>
      </w:divBdr>
    </w:div>
    <w:div w:id="802846779">
      <w:bodyDiv w:val="1"/>
      <w:marLeft w:val="0"/>
      <w:marRight w:val="0"/>
      <w:marTop w:val="0"/>
      <w:marBottom w:val="0"/>
      <w:divBdr>
        <w:top w:val="none" w:sz="0" w:space="0" w:color="auto"/>
        <w:left w:val="none" w:sz="0" w:space="0" w:color="auto"/>
        <w:bottom w:val="none" w:sz="0" w:space="0" w:color="auto"/>
        <w:right w:val="none" w:sz="0" w:space="0" w:color="auto"/>
      </w:divBdr>
    </w:div>
    <w:div w:id="954752711">
      <w:bodyDiv w:val="1"/>
      <w:marLeft w:val="0"/>
      <w:marRight w:val="0"/>
      <w:marTop w:val="0"/>
      <w:marBottom w:val="0"/>
      <w:divBdr>
        <w:top w:val="none" w:sz="0" w:space="0" w:color="auto"/>
        <w:left w:val="none" w:sz="0" w:space="0" w:color="auto"/>
        <w:bottom w:val="none" w:sz="0" w:space="0" w:color="auto"/>
        <w:right w:val="none" w:sz="0" w:space="0" w:color="auto"/>
      </w:divBdr>
    </w:div>
    <w:div w:id="962075452">
      <w:bodyDiv w:val="1"/>
      <w:marLeft w:val="0"/>
      <w:marRight w:val="0"/>
      <w:marTop w:val="0"/>
      <w:marBottom w:val="0"/>
      <w:divBdr>
        <w:top w:val="none" w:sz="0" w:space="0" w:color="auto"/>
        <w:left w:val="none" w:sz="0" w:space="0" w:color="auto"/>
        <w:bottom w:val="none" w:sz="0" w:space="0" w:color="auto"/>
        <w:right w:val="none" w:sz="0" w:space="0" w:color="auto"/>
      </w:divBdr>
    </w:div>
    <w:div w:id="1713992073">
      <w:bodyDiv w:val="1"/>
      <w:marLeft w:val="0"/>
      <w:marRight w:val="0"/>
      <w:marTop w:val="0"/>
      <w:marBottom w:val="0"/>
      <w:divBdr>
        <w:top w:val="none" w:sz="0" w:space="0" w:color="auto"/>
        <w:left w:val="none" w:sz="0" w:space="0" w:color="auto"/>
        <w:bottom w:val="none" w:sz="0" w:space="0" w:color="auto"/>
        <w:right w:val="none" w:sz="0" w:space="0" w:color="auto"/>
      </w:divBdr>
    </w:div>
    <w:div w:id="1883053959">
      <w:bodyDiv w:val="1"/>
      <w:marLeft w:val="0"/>
      <w:marRight w:val="0"/>
      <w:marTop w:val="0"/>
      <w:marBottom w:val="0"/>
      <w:divBdr>
        <w:top w:val="none" w:sz="0" w:space="0" w:color="auto"/>
        <w:left w:val="none" w:sz="0" w:space="0" w:color="auto"/>
        <w:bottom w:val="none" w:sz="0" w:space="0" w:color="auto"/>
        <w:right w:val="none" w:sz="0" w:space="0" w:color="auto"/>
      </w:divBdr>
    </w:div>
    <w:div w:id="20548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1E98-AA38-47FC-9B4A-6A8001CD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Suncor Energy Inc.</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3</cp:revision>
  <cp:lastPrinted>2015-04-17T12:44:00Z</cp:lastPrinted>
  <dcterms:created xsi:type="dcterms:W3CDTF">2015-06-01T17:13:00Z</dcterms:created>
  <dcterms:modified xsi:type="dcterms:W3CDTF">2015-06-01T17:46:00Z</dcterms:modified>
</cp:coreProperties>
</file>